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938" w:type="dxa"/>
        <w:jc w:val="center"/>
        <w:tblLook w:val="04A0" w:firstRow="1" w:lastRow="0" w:firstColumn="1" w:lastColumn="0" w:noHBand="0" w:noVBand="1"/>
      </w:tblPr>
      <w:tblGrid>
        <w:gridCol w:w="7938"/>
      </w:tblGrid>
      <w:tr w:rsidR="00FA68D9" w:rsidRPr="001163C3" w14:paraId="1709CCC6" w14:textId="77777777" w:rsidTr="004D4EF2">
        <w:trPr>
          <w:trHeight w:val="2477"/>
          <w:jc w:val="center"/>
        </w:trPr>
        <w:tc>
          <w:tcPr>
            <w:tcW w:w="7938" w:type="dxa"/>
          </w:tcPr>
          <w:p w14:paraId="0D6FC64F" w14:textId="39A38389" w:rsidR="001B5075" w:rsidRPr="001163C3" w:rsidRDefault="001B5075" w:rsidP="004D4EF2">
            <w:pPr>
              <w:tabs>
                <w:tab w:val="clear" w:pos="567"/>
              </w:tabs>
              <w:snapToGrid/>
              <w:spacing w:before="120" w:after="240"/>
              <w:jc w:val="center"/>
              <w:rPr>
                <w:rFonts w:ascii="Arial" w:hAnsi="Arial" w:cs="Arial"/>
                <w:bCs/>
                <w:sz w:val="22"/>
                <w:szCs w:val="22"/>
                <w:u w:val="single"/>
              </w:rPr>
            </w:pPr>
            <w:r w:rsidRPr="001163C3">
              <w:rPr>
                <w:rFonts w:ascii="Arial" w:hAnsi="Arial" w:cs="Arial"/>
                <w:bCs/>
                <w:sz w:val="22"/>
                <w:szCs w:val="22"/>
                <w:u w:val="single"/>
              </w:rPr>
              <w:t>Summary</w:t>
            </w:r>
          </w:p>
          <w:p w14:paraId="099917ED" w14:textId="55FE8596" w:rsidR="00662B9F" w:rsidRPr="00817F58" w:rsidRDefault="00F31828" w:rsidP="004D4EF2">
            <w:pPr>
              <w:spacing w:after="240"/>
              <w:jc w:val="both"/>
              <w:rPr>
                <w:rFonts w:ascii="Arial" w:hAnsi="Arial" w:cs="Arial"/>
                <w:b/>
                <w:bCs/>
                <w:sz w:val="22"/>
                <w:szCs w:val="22"/>
              </w:rPr>
            </w:pPr>
            <w:r>
              <w:rPr>
                <w:rFonts w:ascii="Arial" w:hAnsi="Arial" w:cs="Arial"/>
                <w:sz w:val="22"/>
                <w:szCs w:val="22"/>
              </w:rPr>
              <w:t xml:space="preserve">In line with </w:t>
            </w:r>
            <w:r w:rsidR="002A5736" w:rsidRPr="004D4EF2">
              <w:rPr>
                <w:rFonts w:ascii="Arial" w:hAnsi="Arial" w:cs="Arial"/>
                <w:sz w:val="22"/>
                <w:szCs w:val="22"/>
              </w:rPr>
              <w:t>IOC Resolution EC-57/2</w:t>
            </w:r>
            <w:r w:rsidR="00D7209D">
              <w:rPr>
                <w:rFonts w:ascii="Arial" w:hAnsi="Arial" w:cs="Arial"/>
                <w:sz w:val="22"/>
                <w:szCs w:val="22"/>
              </w:rPr>
              <w:t xml:space="preserve"> (2024)</w:t>
            </w:r>
            <w:r w:rsidR="002A5736">
              <w:rPr>
                <w:rFonts w:ascii="Arial" w:hAnsi="Arial" w:cs="Arial"/>
                <w:sz w:val="22"/>
                <w:szCs w:val="22"/>
              </w:rPr>
              <w:t>, t</w:t>
            </w:r>
            <w:r w:rsidR="00662B9F">
              <w:rPr>
                <w:rFonts w:ascii="Arial" w:hAnsi="Arial" w:cs="Arial"/>
                <w:sz w:val="22"/>
                <w:szCs w:val="22"/>
              </w:rPr>
              <w:t>his document provides an update</w:t>
            </w:r>
            <w:r w:rsidR="00F5653C">
              <w:rPr>
                <w:rFonts w:ascii="Arial" w:hAnsi="Arial" w:cs="Arial"/>
                <w:sz w:val="22"/>
                <w:szCs w:val="22"/>
              </w:rPr>
              <w:t xml:space="preserve">d proposal of the summary of actions </w:t>
            </w:r>
            <w:r w:rsidR="00D7209D">
              <w:rPr>
                <w:rFonts w:ascii="Arial" w:hAnsi="Arial" w:cs="Arial"/>
                <w:sz w:val="22"/>
                <w:szCs w:val="22"/>
              </w:rPr>
              <w:t xml:space="preserve">in response to 2021 UNESCO’s Internal Oversight Service Evaluation of the IOC Strategic Positioning </w:t>
            </w:r>
            <w:r w:rsidR="00F5653C">
              <w:rPr>
                <w:rFonts w:ascii="Arial" w:hAnsi="Arial" w:cs="Arial"/>
                <w:sz w:val="22"/>
                <w:szCs w:val="22"/>
              </w:rPr>
              <w:t>for Member States’ consideration.</w:t>
            </w:r>
            <w:r w:rsidR="00817F58">
              <w:rPr>
                <w:rFonts w:ascii="Arial" w:hAnsi="Arial" w:cs="Arial"/>
                <w:sz w:val="22"/>
                <w:szCs w:val="22"/>
              </w:rPr>
              <w:t xml:space="preserve"> </w:t>
            </w:r>
          </w:p>
          <w:p w14:paraId="6C050125" w14:textId="3A0A1FD9" w:rsidR="00FA68D9" w:rsidRPr="001163C3" w:rsidRDefault="00FA68D9" w:rsidP="00905A4B">
            <w:pPr>
              <w:tabs>
                <w:tab w:val="clear" w:pos="567"/>
              </w:tabs>
              <w:spacing w:after="240"/>
              <w:jc w:val="both"/>
              <w:rPr>
                <w:rFonts w:ascii="Arial" w:hAnsi="Arial" w:cs="Arial"/>
                <w:b/>
                <w:bCs/>
                <w:sz w:val="22"/>
                <w:szCs w:val="22"/>
              </w:rPr>
            </w:pPr>
            <w:r w:rsidRPr="001163C3">
              <w:rPr>
                <w:rFonts w:ascii="Arial" w:eastAsia="Times New Roman" w:hAnsi="Arial" w:cs="Arial"/>
                <w:sz w:val="22"/>
                <w:szCs w:val="22"/>
                <w:u w:val="single"/>
                <w:lang w:eastAsia="en-US"/>
              </w:rPr>
              <w:t>Decision proposed</w:t>
            </w:r>
            <w:r w:rsidRPr="001163C3">
              <w:rPr>
                <w:rFonts w:ascii="Arial" w:eastAsia="Times New Roman" w:hAnsi="Arial" w:cs="Arial"/>
                <w:sz w:val="22"/>
                <w:szCs w:val="22"/>
                <w:lang w:eastAsia="en-US"/>
              </w:rPr>
              <w:t xml:space="preserve">: </w:t>
            </w:r>
            <w:r w:rsidR="00FD0D40" w:rsidRPr="00D81CA1">
              <w:rPr>
                <w:rFonts w:ascii="Arial" w:eastAsia="Times New Roman" w:hAnsi="Arial" w:cs="Arial"/>
                <w:sz w:val="22"/>
                <w:szCs w:val="22"/>
                <w:lang w:eastAsia="en-US"/>
              </w:rPr>
              <w:t xml:space="preserve">the draft decision </w:t>
            </w:r>
            <w:r w:rsidR="00FD0D40">
              <w:rPr>
                <w:rFonts w:ascii="Arial" w:eastAsia="Times New Roman" w:hAnsi="Arial" w:cs="Arial"/>
                <w:sz w:val="22"/>
                <w:szCs w:val="22"/>
                <w:lang w:eastAsia="en-US"/>
              </w:rPr>
              <w:t xml:space="preserve">is </w:t>
            </w:r>
            <w:r w:rsidR="00FD0D40" w:rsidRPr="00D81CA1">
              <w:rPr>
                <w:rFonts w:ascii="Arial" w:eastAsia="Times New Roman" w:hAnsi="Arial" w:cs="Arial"/>
                <w:sz w:val="22"/>
                <w:szCs w:val="22"/>
                <w:lang w:eastAsia="en-US"/>
              </w:rPr>
              <w:t xml:space="preserve">referenced as </w:t>
            </w:r>
            <w:r w:rsidR="00FD0D40" w:rsidRPr="00D81CA1">
              <w:rPr>
                <w:rFonts w:ascii="Arial" w:eastAsia="Calibri" w:hAnsi="Arial" w:cs="Arial"/>
                <w:bCs/>
                <w:sz w:val="22"/>
              </w:rPr>
              <w:t xml:space="preserve">Dec. IOC-33/5.2 </w:t>
            </w:r>
            <w:r w:rsidR="00FD0D40" w:rsidRPr="00D81CA1">
              <w:rPr>
                <w:rFonts w:ascii="Arial" w:eastAsia="Times New Roman" w:hAnsi="Arial" w:cs="Arial"/>
                <w:sz w:val="22"/>
                <w:szCs w:val="22"/>
                <w:lang w:eastAsia="en-US"/>
              </w:rPr>
              <w:t xml:space="preserve">in the Provisional Action Paper (document IOC-33/AP). </w:t>
            </w:r>
            <w:r w:rsidR="00D7209D">
              <w:rPr>
                <w:rFonts w:ascii="Arial" w:eastAsia="Times New Roman" w:hAnsi="Arial" w:cs="Arial"/>
                <w:sz w:val="22"/>
                <w:szCs w:val="22"/>
                <w:lang w:eastAsia="en-US" w:bidi="en-US"/>
              </w:rPr>
              <w:t>T</w:t>
            </w:r>
            <w:r w:rsidR="00FB19F3" w:rsidRPr="002F2691">
              <w:rPr>
                <w:rFonts w:ascii="Arial" w:eastAsia="Times New Roman" w:hAnsi="Arial" w:cs="Arial"/>
                <w:sz w:val="22"/>
                <w:szCs w:val="22"/>
                <w:lang w:eastAsia="en-US" w:bidi="en-US"/>
              </w:rPr>
              <w:t>he decision</w:t>
            </w:r>
            <w:r w:rsidR="00D7209D">
              <w:rPr>
                <w:rFonts w:ascii="Arial" w:eastAsia="Times New Roman" w:hAnsi="Arial" w:cs="Arial"/>
                <w:sz w:val="22"/>
                <w:szCs w:val="22"/>
                <w:lang w:eastAsia="en-US" w:bidi="en-US"/>
              </w:rPr>
              <w:t xml:space="preserve"> will be</w:t>
            </w:r>
            <w:r w:rsidR="00FB19F3" w:rsidRPr="002F2691">
              <w:rPr>
                <w:rFonts w:ascii="Arial" w:eastAsia="Times New Roman" w:hAnsi="Arial" w:cs="Arial"/>
                <w:sz w:val="22"/>
                <w:szCs w:val="22"/>
                <w:lang w:eastAsia="en-US" w:bidi="en-US"/>
              </w:rPr>
              <w:t xml:space="preserve"> reflected in the Draft Resolution that the Financial Committee will be submitting to the </w:t>
            </w:r>
            <w:r w:rsidR="00767304">
              <w:rPr>
                <w:rFonts w:ascii="Arial" w:eastAsia="Times New Roman" w:hAnsi="Arial" w:cs="Arial"/>
                <w:sz w:val="22"/>
                <w:szCs w:val="22"/>
                <w:lang w:eastAsia="en-US" w:bidi="en-US"/>
              </w:rPr>
              <w:t xml:space="preserve">Assembly </w:t>
            </w:r>
            <w:r w:rsidR="00FB19F3" w:rsidRPr="002F2691">
              <w:rPr>
                <w:rFonts w:ascii="Arial" w:eastAsia="Times New Roman" w:hAnsi="Arial" w:cs="Arial"/>
                <w:sz w:val="22"/>
                <w:szCs w:val="22"/>
                <w:lang w:eastAsia="en-US" w:bidi="en-US"/>
              </w:rPr>
              <w:t xml:space="preserve">for adoption under item </w:t>
            </w:r>
            <w:r w:rsidR="00662B9F">
              <w:rPr>
                <w:rFonts w:ascii="Arial" w:eastAsia="Times New Roman" w:hAnsi="Arial" w:cs="Arial"/>
                <w:sz w:val="22"/>
                <w:szCs w:val="22"/>
                <w:lang w:eastAsia="en-US" w:bidi="en-US"/>
              </w:rPr>
              <w:t>5</w:t>
            </w:r>
            <w:r w:rsidR="00F42017">
              <w:rPr>
                <w:rFonts w:ascii="Arial" w:eastAsia="Times New Roman" w:hAnsi="Arial" w:cs="Arial"/>
                <w:sz w:val="22"/>
                <w:szCs w:val="22"/>
                <w:lang w:eastAsia="en-US" w:bidi="en-US"/>
              </w:rPr>
              <w:t>.4</w:t>
            </w:r>
            <w:r w:rsidR="00FB19F3" w:rsidRPr="002F2691">
              <w:rPr>
                <w:rFonts w:ascii="Arial" w:eastAsia="Times New Roman" w:hAnsi="Arial" w:cs="Arial"/>
                <w:sz w:val="22"/>
                <w:szCs w:val="22"/>
                <w:lang w:eastAsia="en-US" w:bidi="en-US"/>
              </w:rPr>
              <w:t xml:space="preserve"> in accordance with paragraph 15 of the Draft Revised Guidelines for the Preparation and Consideration of Draft Resolutions (</w:t>
            </w:r>
            <w:hyperlink r:id="rId8" w:history="1">
              <w:r w:rsidR="00FB19F3" w:rsidRPr="002F2691">
                <w:rPr>
                  <w:rFonts w:ascii="Arial" w:eastAsia="Times New Roman" w:hAnsi="Arial" w:cs="Arial"/>
                  <w:color w:val="0000FF"/>
                  <w:sz w:val="22"/>
                  <w:szCs w:val="22"/>
                  <w:u w:val="single"/>
                  <w:lang w:eastAsia="en-US" w:bidi="en-US"/>
                </w:rPr>
                <w:t>IOC/INF-1315</w:t>
              </w:r>
            </w:hyperlink>
            <w:r w:rsidR="00FB19F3" w:rsidRPr="002F2691">
              <w:rPr>
                <w:rFonts w:ascii="Arial" w:eastAsia="Times New Roman" w:hAnsi="Arial" w:cs="Arial"/>
                <w:sz w:val="22"/>
                <w:szCs w:val="22"/>
                <w:lang w:eastAsia="en-US" w:bidi="en-US"/>
              </w:rPr>
              <w:t>).</w:t>
            </w:r>
          </w:p>
        </w:tc>
      </w:tr>
    </w:tbl>
    <w:p w14:paraId="4ED6C08A" w14:textId="77777777" w:rsidR="00D7209D" w:rsidRDefault="00D7209D" w:rsidP="00D7209D">
      <w:pPr>
        <w:spacing w:after="120"/>
        <w:jc w:val="both"/>
        <w:rPr>
          <w:rFonts w:ascii="Arial" w:hAnsi="Arial" w:cs="Arial"/>
          <w:sz w:val="22"/>
          <w:szCs w:val="22"/>
        </w:rPr>
      </w:pPr>
    </w:p>
    <w:p w14:paraId="02AE6279" w14:textId="53F1AA20" w:rsidR="00D7209D" w:rsidRPr="004D4EF2" w:rsidRDefault="00D7209D" w:rsidP="004D4EF2">
      <w:pPr>
        <w:pStyle w:val="ListParagraph"/>
        <w:numPr>
          <w:ilvl w:val="0"/>
          <w:numId w:val="38"/>
        </w:numPr>
        <w:tabs>
          <w:tab w:val="clear" w:pos="567"/>
          <w:tab w:val="left" w:pos="851"/>
        </w:tabs>
        <w:spacing w:after="240"/>
        <w:ind w:left="0" w:firstLine="0"/>
        <w:contextualSpacing w:val="0"/>
        <w:jc w:val="both"/>
        <w:rPr>
          <w:rFonts w:ascii="Arial" w:hAnsi="Arial" w:cs="Arial"/>
          <w:sz w:val="22"/>
          <w:szCs w:val="22"/>
        </w:rPr>
      </w:pPr>
      <w:r w:rsidRPr="004D4EF2">
        <w:rPr>
          <w:rFonts w:ascii="Arial" w:hAnsi="Arial" w:cs="Arial"/>
          <w:sz w:val="22"/>
          <w:szCs w:val="22"/>
        </w:rPr>
        <w:t xml:space="preserve">In September 2021, UNESCO’s Internal Oversight Service published </w:t>
      </w:r>
      <w:r w:rsidRPr="004D4EF2">
        <w:rPr>
          <w:rFonts w:ascii="Arial" w:hAnsi="Arial" w:cs="Arial"/>
          <w:i/>
          <w:iCs/>
          <w:sz w:val="22"/>
          <w:szCs w:val="22"/>
        </w:rPr>
        <w:t>The Evaluation of the Strategic Positioning of IOC-UNESCO</w:t>
      </w:r>
      <w:r w:rsidRPr="004D4EF2">
        <w:rPr>
          <w:rFonts w:ascii="Arial" w:hAnsi="Arial" w:cs="Arial"/>
          <w:sz w:val="22"/>
          <w:szCs w:val="22"/>
        </w:rPr>
        <w:t>—</w:t>
      </w:r>
      <w:hyperlink r:id="rId9" w:history="1">
        <w:r w:rsidRPr="004D4EF2">
          <w:rPr>
            <w:rStyle w:val="Hyperlink"/>
            <w:rFonts w:ascii="Arial" w:hAnsi="Arial" w:cs="Arial"/>
            <w:sz w:val="22"/>
            <w:szCs w:val="22"/>
          </w:rPr>
          <w:t>IOS/EVS/PI/197</w:t>
        </w:r>
      </w:hyperlink>
      <w:r w:rsidRPr="004D4EF2">
        <w:rPr>
          <w:rFonts w:ascii="Arial" w:hAnsi="Arial" w:cs="Arial"/>
          <w:sz w:val="22"/>
          <w:szCs w:val="22"/>
        </w:rPr>
        <w:t xml:space="preserve"> (the Evaluation). The Evaluation included a set of six recommendations and suggested actions. Its key findings and the management response were presented to the UNESCO Executive Board at its 212</w:t>
      </w:r>
      <w:r w:rsidRPr="004D4EF2">
        <w:rPr>
          <w:rFonts w:ascii="Arial" w:hAnsi="Arial" w:cs="Arial"/>
          <w:sz w:val="22"/>
          <w:szCs w:val="22"/>
          <w:vertAlign w:val="superscript"/>
        </w:rPr>
        <w:t>th</w:t>
      </w:r>
      <w:r w:rsidRPr="004D4EF2">
        <w:rPr>
          <w:rFonts w:ascii="Arial" w:hAnsi="Arial" w:cs="Arial"/>
          <w:sz w:val="22"/>
          <w:szCs w:val="22"/>
        </w:rPr>
        <w:t xml:space="preserve"> session (</w:t>
      </w:r>
      <w:hyperlink r:id="rId10" w:history="1">
        <w:r w:rsidRPr="004D4EF2">
          <w:rPr>
            <w:rStyle w:val="Hyperlink"/>
            <w:rFonts w:ascii="Arial" w:hAnsi="Arial" w:cs="Arial"/>
            <w:sz w:val="22"/>
            <w:szCs w:val="22"/>
          </w:rPr>
          <w:t>212 EX/9</w:t>
        </w:r>
      </w:hyperlink>
      <w:r w:rsidRPr="004D4EF2">
        <w:rPr>
          <w:rFonts w:ascii="Arial" w:hAnsi="Arial" w:cs="Arial"/>
          <w:color w:val="000000"/>
          <w:sz w:val="20"/>
          <w:szCs w:val="20"/>
        </w:rPr>
        <w:t>).</w:t>
      </w:r>
    </w:p>
    <w:p w14:paraId="511F4152" w14:textId="39F3E25A" w:rsidR="00D7209D" w:rsidRDefault="00D7209D" w:rsidP="004D4EF2">
      <w:pPr>
        <w:pStyle w:val="ListParagraph"/>
        <w:numPr>
          <w:ilvl w:val="0"/>
          <w:numId w:val="38"/>
        </w:numPr>
        <w:tabs>
          <w:tab w:val="clear" w:pos="567"/>
          <w:tab w:val="left" w:pos="851"/>
        </w:tabs>
        <w:spacing w:after="240"/>
        <w:ind w:left="0" w:firstLine="0"/>
        <w:contextualSpacing w:val="0"/>
        <w:jc w:val="both"/>
        <w:rPr>
          <w:rFonts w:ascii="Arial" w:hAnsi="Arial" w:cs="Arial"/>
          <w:sz w:val="22"/>
          <w:szCs w:val="22"/>
        </w:rPr>
      </w:pPr>
      <w:r w:rsidRPr="001163C3">
        <w:rPr>
          <w:rFonts w:ascii="Arial" w:hAnsi="Arial" w:cs="Arial"/>
          <w:sz w:val="22"/>
          <w:szCs w:val="22"/>
        </w:rPr>
        <w:t>Th</w:t>
      </w:r>
      <w:r>
        <w:rPr>
          <w:rFonts w:ascii="Arial" w:hAnsi="Arial" w:cs="Arial"/>
          <w:sz w:val="22"/>
          <w:szCs w:val="22"/>
        </w:rPr>
        <w:t>e first Draft Action Plan was presented to the IOC Executive Council at its 55</w:t>
      </w:r>
      <w:r w:rsidRPr="006F461F">
        <w:rPr>
          <w:rFonts w:ascii="Arial" w:hAnsi="Arial" w:cs="Arial"/>
          <w:sz w:val="22"/>
          <w:szCs w:val="22"/>
          <w:vertAlign w:val="superscript"/>
        </w:rPr>
        <w:t>th</w:t>
      </w:r>
      <w:r>
        <w:rPr>
          <w:rFonts w:ascii="Arial" w:hAnsi="Arial" w:cs="Arial"/>
          <w:sz w:val="22"/>
          <w:szCs w:val="22"/>
        </w:rPr>
        <w:t xml:space="preserve"> session in June 2022 as document </w:t>
      </w:r>
      <w:hyperlink r:id="rId11" w:history="1">
        <w:r w:rsidRPr="00FD0D40">
          <w:rPr>
            <w:rStyle w:val="Hyperlink"/>
            <w:rFonts w:ascii="Arial" w:hAnsi="Arial" w:cs="Arial"/>
            <w:sz w:val="22"/>
            <w:szCs w:val="22"/>
          </w:rPr>
          <w:t>IOC/EC-55/3.2</w:t>
        </w:r>
        <w:proofErr w:type="gramStart"/>
        <w:r w:rsidRPr="00FD0D40">
          <w:rPr>
            <w:rStyle w:val="Hyperlink"/>
            <w:rFonts w:ascii="Arial" w:hAnsi="Arial" w:cs="Arial"/>
            <w:sz w:val="22"/>
            <w:szCs w:val="22"/>
          </w:rPr>
          <w:t>Doc.(</w:t>
        </w:r>
        <w:proofErr w:type="gramEnd"/>
        <w:r w:rsidRPr="00FD0D40">
          <w:rPr>
            <w:rStyle w:val="Hyperlink"/>
            <w:rFonts w:ascii="Arial" w:hAnsi="Arial" w:cs="Arial"/>
            <w:sz w:val="22"/>
            <w:szCs w:val="22"/>
          </w:rPr>
          <w:t>1)</w:t>
        </w:r>
      </w:hyperlink>
      <w:r w:rsidRPr="001163C3">
        <w:rPr>
          <w:rFonts w:ascii="Arial" w:hAnsi="Arial" w:cs="Arial"/>
          <w:sz w:val="22"/>
          <w:szCs w:val="22"/>
        </w:rPr>
        <w:t>.</w:t>
      </w:r>
      <w:r>
        <w:rPr>
          <w:rFonts w:ascii="Arial" w:hAnsi="Arial" w:cs="Arial"/>
          <w:sz w:val="22"/>
          <w:szCs w:val="22"/>
        </w:rPr>
        <w:t xml:space="preserve"> Following the positive review by the I</w:t>
      </w:r>
      <w:r w:rsidRPr="001163C3">
        <w:rPr>
          <w:rFonts w:ascii="Arial" w:hAnsi="Arial" w:cs="Arial"/>
          <w:sz w:val="22"/>
          <w:szCs w:val="22"/>
        </w:rPr>
        <w:t xml:space="preserve">OC Executive Council </w:t>
      </w:r>
      <w:r>
        <w:rPr>
          <w:rFonts w:ascii="Arial" w:hAnsi="Arial" w:cs="Arial"/>
          <w:sz w:val="22"/>
          <w:szCs w:val="22"/>
        </w:rPr>
        <w:t xml:space="preserve">and consultation of Member States through IOC Circular Letter </w:t>
      </w:r>
      <w:hyperlink r:id="rId12" w:history="1">
        <w:r w:rsidRPr="00DD448F">
          <w:rPr>
            <w:rStyle w:val="Hyperlink"/>
            <w:rFonts w:ascii="Arial" w:hAnsi="Arial" w:cs="Arial"/>
            <w:sz w:val="22"/>
            <w:szCs w:val="22"/>
          </w:rPr>
          <w:t>2912</w:t>
        </w:r>
      </w:hyperlink>
      <w:r>
        <w:rPr>
          <w:rFonts w:ascii="Arial" w:hAnsi="Arial" w:cs="Arial"/>
          <w:sz w:val="22"/>
          <w:szCs w:val="22"/>
        </w:rPr>
        <w:t xml:space="preserve">, the </w:t>
      </w:r>
      <w:r w:rsidRPr="001163C3">
        <w:rPr>
          <w:rFonts w:ascii="Arial" w:hAnsi="Arial" w:cs="Arial"/>
          <w:sz w:val="22"/>
          <w:szCs w:val="22"/>
        </w:rPr>
        <w:t>Action Plan</w:t>
      </w:r>
      <w:r>
        <w:rPr>
          <w:rFonts w:ascii="Arial" w:hAnsi="Arial" w:cs="Arial"/>
          <w:sz w:val="22"/>
          <w:szCs w:val="22"/>
        </w:rPr>
        <w:t xml:space="preserve"> (IOC/A-32/6.3.Doc(1)) was reviewed by the IOC Assembly at its 32</w:t>
      </w:r>
      <w:r w:rsidRPr="00662B9F">
        <w:rPr>
          <w:rFonts w:ascii="Arial" w:hAnsi="Arial" w:cs="Arial"/>
          <w:sz w:val="22"/>
          <w:szCs w:val="22"/>
          <w:vertAlign w:val="superscript"/>
        </w:rPr>
        <w:t>nd</w:t>
      </w:r>
      <w:r>
        <w:rPr>
          <w:rFonts w:ascii="Arial" w:hAnsi="Arial" w:cs="Arial"/>
          <w:sz w:val="22"/>
          <w:szCs w:val="22"/>
        </w:rPr>
        <w:t xml:space="preserve"> session in June 2023. Through IOC Resolution A-32/4, the Assembly requested the IOC Executive Secretary to ‘</w:t>
      </w:r>
      <w:r w:rsidRPr="00017299">
        <w:rPr>
          <w:rFonts w:ascii="Arial" w:hAnsi="Arial" w:cs="Arial"/>
          <w:i/>
          <w:iCs/>
          <w:sz w:val="22"/>
          <w:szCs w:val="22"/>
        </w:rPr>
        <w:t>move forward with its implementation considering the IOC’s evolving situation, including the resources available, proposing adjustments accordingly and reporting on progress both to IOC and UNESCO Governing Bodies</w:t>
      </w:r>
      <w:r>
        <w:rPr>
          <w:rFonts w:ascii="Arial" w:hAnsi="Arial" w:cs="Arial"/>
          <w:sz w:val="22"/>
          <w:szCs w:val="22"/>
        </w:rPr>
        <w:t>’. The IOC Executive Council at its 57</w:t>
      </w:r>
      <w:r w:rsidRPr="007D6ADD">
        <w:rPr>
          <w:rFonts w:ascii="Arial" w:hAnsi="Arial" w:cs="Arial"/>
          <w:sz w:val="22"/>
          <w:szCs w:val="22"/>
          <w:vertAlign w:val="superscript"/>
        </w:rPr>
        <w:t>th</w:t>
      </w:r>
      <w:r>
        <w:rPr>
          <w:rFonts w:ascii="Arial" w:hAnsi="Arial" w:cs="Arial"/>
          <w:sz w:val="22"/>
          <w:szCs w:val="22"/>
        </w:rPr>
        <w:t xml:space="preserve"> session examined document </w:t>
      </w:r>
      <w:hyperlink r:id="rId13" w:history="1">
        <w:r w:rsidRPr="004D4EF2">
          <w:rPr>
            <w:rStyle w:val="Hyperlink"/>
            <w:rFonts w:ascii="Arial" w:hAnsi="Arial" w:cs="Arial"/>
            <w:sz w:val="22"/>
            <w:szCs w:val="22"/>
          </w:rPr>
          <w:t>IOC/EC-57/5.2.Doc(1)</w:t>
        </w:r>
      </w:hyperlink>
      <w:r>
        <w:rPr>
          <w:rFonts w:ascii="Arial" w:hAnsi="Arial" w:cs="Arial"/>
          <w:sz w:val="22"/>
          <w:szCs w:val="22"/>
        </w:rPr>
        <w:t xml:space="preserve"> and decided that ‘</w:t>
      </w:r>
      <w:r w:rsidRPr="00F5653C">
        <w:rPr>
          <w:rFonts w:ascii="Arial" w:hAnsi="Arial" w:cs="Arial"/>
          <w:i/>
          <w:iCs/>
          <w:sz w:val="22"/>
          <w:szCs w:val="22"/>
        </w:rPr>
        <w:t xml:space="preserve">although some actions have been implemented and work is in progress on others, </w:t>
      </w:r>
      <w:r w:rsidRPr="00F5653C">
        <w:rPr>
          <w:rFonts w:ascii="Arial" w:hAnsi="Arial" w:cs="Arial"/>
          <w:i/>
          <w:iCs/>
          <w:sz w:val="22"/>
          <w:szCs w:val="22"/>
        </w:rPr>
        <w:lastRenderedPageBreak/>
        <w:t>a number of strategic actions will require further reflection and discussion with Member States as part of the new phase of the ‘IOC and the Future of the Ocean’ consultation’</w:t>
      </w:r>
      <w:r>
        <w:rPr>
          <w:rFonts w:ascii="Arial" w:hAnsi="Arial" w:cs="Arial"/>
          <w:sz w:val="22"/>
          <w:szCs w:val="22"/>
        </w:rPr>
        <w:t>.</w:t>
      </w:r>
    </w:p>
    <w:p w14:paraId="6F97A154" w14:textId="0C03F862" w:rsidR="00D7209D" w:rsidRPr="004D4EF2" w:rsidRDefault="00D7209D" w:rsidP="004D4EF2">
      <w:pPr>
        <w:pStyle w:val="ListParagraph"/>
        <w:numPr>
          <w:ilvl w:val="0"/>
          <w:numId w:val="38"/>
        </w:numPr>
        <w:tabs>
          <w:tab w:val="clear" w:pos="567"/>
          <w:tab w:val="left" w:pos="851"/>
        </w:tabs>
        <w:spacing w:after="240"/>
        <w:ind w:left="0" w:firstLine="0"/>
        <w:contextualSpacing w:val="0"/>
        <w:jc w:val="both"/>
        <w:rPr>
          <w:rFonts w:ascii="Arial" w:hAnsi="Arial" w:cs="Arial"/>
          <w:b/>
          <w:bCs/>
          <w:sz w:val="22"/>
          <w:szCs w:val="22"/>
        </w:rPr>
      </w:pPr>
      <w:r>
        <w:rPr>
          <w:rFonts w:ascii="Arial" w:hAnsi="Arial" w:cs="Arial"/>
          <w:sz w:val="22"/>
          <w:szCs w:val="22"/>
        </w:rPr>
        <w:t xml:space="preserve">In line with </w:t>
      </w:r>
      <w:hyperlink r:id="rId14" w:history="1">
        <w:r w:rsidRPr="004D4EF2">
          <w:rPr>
            <w:rStyle w:val="Hyperlink"/>
            <w:rFonts w:ascii="Arial" w:hAnsi="Arial" w:cs="Arial"/>
            <w:sz w:val="22"/>
            <w:szCs w:val="22"/>
          </w:rPr>
          <w:t>IOC Resolution EC-57/2</w:t>
        </w:r>
      </w:hyperlink>
      <w:r>
        <w:rPr>
          <w:rFonts w:ascii="Arial" w:hAnsi="Arial" w:cs="Arial"/>
          <w:sz w:val="22"/>
          <w:szCs w:val="22"/>
        </w:rPr>
        <w:t>, this document provides an updated proposal of the summary of actions for Member States’ consideration</w:t>
      </w:r>
      <w:r w:rsidR="00574C8D">
        <w:rPr>
          <w:rFonts w:ascii="Arial" w:hAnsi="Arial" w:cs="Arial"/>
          <w:sz w:val="22"/>
          <w:szCs w:val="22"/>
        </w:rPr>
        <w:t xml:space="preserve"> in a tabular form</w:t>
      </w:r>
      <w:r w:rsidR="00647E95">
        <w:rPr>
          <w:rFonts w:ascii="Arial" w:hAnsi="Arial" w:cs="Arial"/>
          <w:sz w:val="22"/>
          <w:szCs w:val="22"/>
        </w:rPr>
        <w:t xml:space="preserve"> (in bold)</w:t>
      </w:r>
      <w:r>
        <w:rPr>
          <w:rFonts w:ascii="Arial" w:hAnsi="Arial" w:cs="Arial"/>
          <w:sz w:val="22"/>
          <w:szCs w:val="22"/>
        </w:rPr>
        <w:t xml:space="preserve">. Actions requiring further work will continue to be discussed and reported on in the context of </w:t>
      </w:r>
      <w:r w:rsidRPr="004D4EF2">
        <w:rPr>
          <w:rFonts w:ascii="Arial" w:hAnsi="Arial" w:cs="Arial"/>
          <w:sz w:val="22"/>
          <w:szCs w:val="22"/>
        </w:rPr>
        <w:t xml:space="preserve">the </w:t>
      </w:r>
      <w:r w:rsidRPr="000E09A5">
        <w:rPr>
          <w:rFonts w:ascii="Arial" w:hAnsi="Arial" w:cs="Arial"/>
          <w:b/>
          <w:bCs/>
          <w:sz w:val="22"/>
          <w:szCs w:val="22"/>
        </w:rPr>
        <w:t>‘IOC and the Future of the Ocean’ consultation</w:t>
      </w:r>
      <w:r w:rsidR="00574C8D" w:rsidRPr="004D4EF2">
        <w:rPr>
          <w:rFonts w:ascii="Arial" w:hAnsi="Arial" w:cs="Arial"/>
          <w:b/>
          <w:bCs/>
          <w:sz w:val="22"/>
          <w:szCs w:val="22"/>
        </w:rPr>
        <w:t>’</w:t>
      </w:r>
      <w:r w:rsidRPr="004D4EF2">
        <w:rPr>
          <w:rFonts w:ascii="Arial" w:hAnsi="Arial" w:cs="Arial"/>
          <w:sz w:val="22"/>
          <w:szCs w:val="22"/>
        </w:rPr>
        <w:t>.</w:t>
      </w:r>
    </w:p>
    <w:p w14:paraId="73A866F3" w14:textId="77777777" w:rsidR="00756455" w:rsidRDefault="00756455" w:rsidP="00756455">
      <w:pPr>
        <w:tabs>
          <w:tab w:val="clear" w:pos="567"/>
          <w:tab w:val="left" w:pos="0"/>
        </w:tabs>
        <w:snapToGrid/>
        <w:spacing w:after="120"/>
        <w:jc w:val="both"/>
        <w:rPr>
          <w:rFonts w:ascii="Arial" w:eastAsia="Times New Roman" w:hAnsi="Arial" w:cs="Arial"/>
          <w:b/>
          <w:bCs/>
          <w:caps/>
          <w:sz w:val="22"/>
          <w:szCs w:val="22"/>
          <w:lang w:eastAsia="en-US"/>
        </w:rPr>
        <w:sectPr w:rsidR="00756455" w:rsidSect="00C14F80">
          <w:headerReference w:type="even" r:id="rId15"/>
          <w:headerReference w:type="default" r:id="rId16"/>
          <w:headerReference w:type="first" r:id="rId17"/>
          <w:pgSz w:w="11906" w:h="16838" w:code="9"/>
          <w:pgMar w:top="1418" w:right="1134" w:bottom="1134" w:left="1134" w:header="680" w:footer="0" w:gutter="0"/>
          <w:cols w:space="708"/>
          <w:titlePg/>
          <w:docGrid w:linePitch="360"/>
        </w:sectPr>
      </w:pPr>
    </w:p>
    <w:p w14:paraId="41A522BA" w14:textId="7A11BEF3" w:rsidR="00EF2790" w:rsidRDefault="00F45E28" w:rsidP="00DD448F">
      <w:pPr>
        <w:pBdr>
          <w:bottom w:val="single" w:sz="4" w:space="1" w:color="auto"/>
        </w:pBdr>
        <w:tabs>
          <w:tab w:val="clear" w:pos="567"/>
          <w:tab w:val="left" w:pos="0"/>
        </w:tabs>
        <w:snapToGrid/>
        <w:spacing w:after="120"/>
        <w:jc w:val="both"/>
        <w:rPr>
          <w:rFonts w:ascii="Arial" w:eastAsia="Times New Roman" w:hAnsi="Arial" w:cs="Arial"/>
          <w:b/>
          <w:bCs/>
          <w:caps/>
          <w:sz w:val="22"/>
          <w:szCs w:val="22"/>
          <w:lang w:eastAsia="en-US"/>
        </w:rPr>
      </w:pPr>
      <w:r w:rsidRPr="001163C3">
        <w:rPr>
          <w:rFonts w:ascii="Arial" w:eastAsia="Times New Roman" w:hAnsi="Arial" w:cs="Arial"/>
          <w:b/>
          <w:bCs/>
          <w:caps/>
          <w:sz w:val="22"/>
          <w:szCs w:val="22"/>
          <w:lang w:eastAsia="en-US"/>
        </w:rPr>
        <w:lastRenderedPageBreak/>
        <w:t>SUMMARY OF ACTIONS</w:t>
      </w:r>
      <w:r w:rsidR="003E022C">
        <w:rPr>
          <w:rFonts w:ascii="Arial" w:eastAsia="Times New Roman" w:hAnsi="Arial" w:cs="Arial"/>
          <w:b/>
          <w:bCs/>
          <w:caps/>
          <w:sz w:val="22"/>
          <w:szCs w:val="22"/>
          <w:lang w:eastAsia="en-US"/>
        </w:rPr>
        <w:t xml:space="preserve"> &amp; updates on progress </w:t>
      </w:r>
    </w:p>
    <w:tbl>
      <w:tblPr>
        <w:tblStyle w:val="TableGrid1"/>
        <w:tblW w:w="5000" w:type="pct"/>
        <w:tblLayout w:type="fixed"/>
        <w:tblLook w:val="04A0" w:firstRow="1" w:lastRow="0" w:firstColumn="1" w:lastColumn="0" w:noHBand="0" w:noVBand="1"/>
      </w:tblPr>
      <w:tblGrid>
        <w:gridCol w:w="3025"/>
        <w:gridCol w:w="4098"/>
        <w:gridCol w:w="3904"/>
        <w:gridCol w:w="1727"/>
        <w:gridCol w:w="1522"/>
      </w:tblGrid>
      <w:tr w:rsidR="00D57353" w:rsidRPr="00CA61A9" w14:paraId="1142D24A" w14:textId="77777777" w:rsidTr="00DA5273">
        <w:trPr>
          <w:tblHeader/>
        </w:trPr>
        <w:tc>
          <w:tcPr>
            <w:tcW w:w="3025" w:type="dxa"/>
            <w:shd w:val="clear" w:color="auto" w:fill="F2F2F2" w:themeFill="background1" w:themeFillShade="F2"/>
            <w:vAlign w:val="center"/>
          </w:tcPr>
          <w:p w14:paraId="7C1CD2D9" w14:textId="77777777" w:rsidR="00D57353" w:rsidRPr="00CA61A9" w:rsidRDefault="00D57353" w:rsidP="00D57353">
            <w:pPr>
              <w:rPr>
                <w:rFonts w:asciiTheme="minorBidi" w:hAnsiTheme="minorBidi" w:cstheme="minorBidi"/>
                <w:b/>
                <w:bCs/>
                <w:sz w:val="18"/>
                <w:szCs w:val="18"/>
              </w:rPr>
            </w:pPr>
          </w:p>
        </w:tc>
        <w:tc>
          <w:tcPr>
            <w:tcW w:w="4098" w:type="dxa"/>
            <w:shd w:val="clear" w:color="auto" w:fill="F2F2F2" w:themeFill="background1" w:themeFillShade="F2"/>
            <w:vAlign w:val="center"/>
          </w:tcPr>
          <w:p w14:paraId="78D1C6F0" w14:textId="77777777" w:rsidR="00D57353" w:rsidRPr="00CA61A9" w:rsidRDefault="00D57353" w:rsidP="00D57353">
            <w:pPr>
              <w:rPr>
                <w:rFonts w:asciiTheme="minorBidi" w:hAnsiTheme="minorBidi" w:cstheme="minorBidi"/>
                <w:b/>
                <w:bCs/>
                <w:sz w:val="18"/>
                <w:szCs w:val="18"/>
              </w:rPr>
            </w:pPr>
            <w:r w:rsidRPr="00CA61A9">
              <w:rPr>
                <w:rFonts w:asciiTheme="minorBidi" w:hAnsiTheme="minorBidi" w:cstheme="minorBidi"/>
                <w:b/>
                <w:bCs/>
                <w:sz w:val="18"/>
                <w:szCs w:val="18"/>
              </w:rPr>
              <w:t>Actions Planned</w:t>
            </w:r>
          </w:p>
        </w:tc>
        <w:tc>
          <w:tcPr>
            <w:tcW w:w="3904" w:type="dxa"/>
            <w:shd w:val="clear" w:color="auto" w:fill="F2F2F2" w:themeFill="background1" w:themeFillShade="F2"/>
            <w:vAlign w:val="center"/>
          </w:tcPr>
          <w:p w14:paraId="22C9EBFC" w14:textId="78268675" w:rsidR="00D57353" w:rsidRPr="00CA61A9" w:rsidRDefault="00D57353" w:rsidP="00D57353">
            <w:pPr>
              <w:rPr>
                <w:rFonts w:asciiTheme="minorBidi" w:hAnsiTheme="minorBidi" w:cstheme="minorBidi"/>
                <w:b/>
                <w:bCs/>
                <w:sz w:val="18"/>
                <w:szCs w:val="18"/>
              </w:rPr>
            </w:pPr>
            <w:r w:rsidRPr="00CA61A9">
              <w:rPr>
                <w:rFonts w:asciiTheme="minorBidi" w:hAnsiTheme="minorBidi" w:cstheme="minorBidi"/>
                <w:b/>
                <w:bCs/>
                <w:sz w:val="18"/>
                <w:szCs w:val="18"/>
              </w:rPr>
              <w:t>Progress as of April 202</w:t>
            </w:r>
            <w:r w:rsidR="007C39AC">
              <w:rPr>
                <w:rFonts w:asciiTheme="minorBidi" w:hAnsiTheme="minorBidi" w:cstheme="minorBidi"/>
                <w:b/>
                <w:bCs/>
                <w:sz w:val="18"/>
                <w:szCs w:val="18"/>
              </w:rPr>
              <w:t>5</w:t>
            </w:r>
          </w:p>
        </w:tc>
        <w:tc>
          <w:tcPr>
            <w:tcW w:w="1727" w:type="dxa"/>
            <w:shd w:val="clear" w:color="auto" w:fill="F2F2F2" w:themeFill="background1" w:themeFillShade="F2"/>
            <w:vAlign w:val="center"/>
          </w:tcPr>
          <w:p w14:paraId="376EF3B2" w14:textId="77777777" w:rsidR="00D57353" w:rsidRPr="00CA61A9" w:rsidRDefault="00D57353" w:rsidP="00D57353">
            <w:pPr>
              <w:rPr>
                <w:rFonts w:asciiTheme="minorBidi" w:hAnsiTheme="minorBidi" w:cstheme="minorBidi"/>
                <w:b/>
                <w:bCs/>
                <w:sz w:val="18"/>
                <w:szCs w:val="18"/>
              </w:rPr>
            </w:pPr>
            <w:r w:rsidRPr="00CA61A9">
              <w:rPr>
                <w:rFonts w:asciiTheme="minorBidi" w:hAnsiTheme="minorBidi" w:cstheme="minorBidi"/>
                <w:b/>
                <w:bCs/>
                <w:sz w:val="18"/>
                <w:szCs w:val="18"/>
              </w:rPr>
              <w:t>Responsible Unit(s)</w:t>
            </w:r>
          </w:p>
        </w:tc>
        <w:tc>
          <w:tcPr>
            <w:tcW w:w="1522" w:type="dxa"/>
            <w:shd w:val="clear" w:color="auto" w:fill="F2F2F2" w:themeFill="background1" w:themeFillShade="F2"/>
            <w:vAlign w:val="center"/>
          </w:tcPr>
          <w:p w14:paraId="3687C2A4" w14:textId="77777777" w:rsidR="00D57353" w:rsidRPr="00CA61A9" w:rsidRDefault="00D57353" w:rsidP="00D57353">
            <w:pPr>
              <w:rPr>
                <w:rFonts w:asciiTheme="minorBidi" w:hAnsiTheme="minorBidi" w:cstheme="minorBidi"/>
                <w:b/>
                <w:bCs/>
                <w:sz w:val="18"/>
                <w:szCs w:val="18"/>
              </w:rPr>
            </w:pPr>
            <w:r w:rsidRPr="00CA61A9">
              <w:rPr>
                <w:rFonts w:asciiTheme="minorBidi" w:hAnsiTheme="minorBidi" w:cstheme="minorBidi"/>
                <w:b/>
                <w:bCs/>
                <w:sz w:val="18"/>
                <w:szCs w:val="18"/>
              </w:rPr>
              <w:t>Estimated Date for Completion</w:t>
            </w:r>
          </w:p>
        </w:tc>
      </w:tr>
      <w:tr w:rsidR="00D57353" w:rsidRPr="00CA61A9" w14:paraId="1312BD5F" w14:textId="77777777" w:rsidTr="00D57353">
        <w:tc>
          <w:tcPr>
            <w:tcW w:w="3025" w:type="dxa"/>
            <w:vMerge w:val="restart"/>
          </w:tcPr>
          <w:p w14:paraId="4B8A2A03" w14:textId="77777777" w:rsidR="00D57353" w:rsidRPr="00CA61A9" w:rsidRDefault="00D57353" w:rsidP="00A24069">
            <w:pPr>
              <w:spacing w:before="120"/>
              <w:rPr>
                <w:rFonts w:asciiTheme="minorBidi" w:eastAsia="Arial" w:hAnsiTheme="minorBidi" w:cstheme="minorBidi"/>
                <w:sz w:val="18"/>
                <w:szCs w:val="18"/>
              </w:rPr>
            </w:pPr>
            <w:r w:rsidRPr="00CA61A9">
              <w:rPr>
                <w:rFonts w:asciiTheme="minorBidi" w:eastAsia="Arial" w:hAnsiTheme="minorBidi" w:cstheme="minorBidi"/>
                <w:b/>
                <w:bCs/>
                <w:sz w:val="18"/>
                <w:szCs w:val="18"/>
              </w:rPr>
              <w:t>Recommendation 1</w:t>
            </w:r>
            <w:r w:rsidRPr="00CA61A9">
              <w:rPr>
                <w:rFonts w:asciiTheme="minorBidi" w:eastAsia="Arial" w:hAnsiTheme="minorBidi" w:cstheme="minorBidi"/>
                <w:sz w:val="18"/>
                <w:szCs w:val="18"/>
              </w:rPr>
              <w:t xml:space="preserve">: </w:t>
            </w:r>
          </w:p>
          <w:p w14:paraId="0E7A99B9" w14:textId="77777777" w:rsidR="00D57353" w:rsidRPr="00CA61A9" w:rsidRDefault="00D57353" w:rsidP="00A24069">
            <w:pPr>
              <w:spacing w:before="120"/>
              <w:rPr>
                <w:rFonts w:asciiTheme="minorBidi" w:hAnsiTheme="minorBidi" w:cstheme="minorBidi"/>
                <w:sz w:val="18"/>
                <w:szCs w:val="18"/>
                <w:lang w:eastAsia="en-US"/>
              </w:rPr>
            </w:pPr>
            <w:r w:rsidRPr="00CA61A9">
              <w:rPr>
                <w:rFonts w:asciiTheme="minorBidi" w:hAnsiTheme="minorBidi" w:cstheme="minorBidi"/>
                <w:sz w:val="18"/>
                <w:szCs w:val="18"/>
                <w:lang w:eastAsia="en-US"/>
              </w:rPr>
              <w:t>By September 2022 – Follow up on the request of the IOC-UNESCO 30th Assembly by estimating the necessary resources and accelerating the application of provisions of Article 10.4 of the IOC-UNESCO Statutes to effectively operate the IOC at an “optimal” level, as well as to determine the most appropriate organizational setting in view of IOC’s envisaged global role in science-based ocean management and leading the UN Ocean Decade.</w:t>
            </w:r>
          </w:p>
        </w:tc>
        <w:tc>
          <w:tcPr>
            <w:tcW w:w="4098" w:type="dxa"/>
          </w:tcPr>
          <w:p w14:paraId="1067FF8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1.1 Obtain professional legal advice on the implications of utilizing Article 10.4 of the IOC Statutes to attract additional funding to the Commission to ensure effective and continuing delivery of its global and regional programmes, including the Ocean Decade;</w:t>
            </w:r>
          </w:p>
        </w:tc>
        <w:tc>
          <w:tcPr>
            <w:tcW w:w="3904" w:type="dxa"/>
            <w:vMerge w:val="restart"/>
          </w:tcPr>
          <w:p w14:paraId="1F7D326E" w14:textId="77777777" w:rsidR="009C3A1D" w:rsidRDefault="00781F71" w:rsidP="00A24069">
            <w:pPr>
              <w:spacing w:before="120"/>
              <w:rPr>
                <w:rFonts w:asciiTheme="minorBidi" w:hAnsiTheme="minorBidi" w:cstheme="minorBidi"/>
                <w:iCs/>
                <w:sz w:val="18"/>
                <w:szCs w:val="18"/>
              </w:rPr>
            </w:pPr>
            <w:r>
              <w:rPr>
                <w:rFonts w:asciiTheme="minorBidi" w:hAnsiTheme="minorBidi" w:cstheme="minorBidi"/>
                <w:iCs/>
                <w:sz w:val="18"/>
                <w:szCs w:val="18"/>
              </w:rPr>
              <w:t xml:space="preserve">1.1 </w:t>
            </w:r>
            <w:r w:rsidR="00D57353" w:rsidRPr="00CA61A9">
              <w:rPr>
                <w:rFonts w:asciiTheme="minorBidi" w:hAnsiTheme="minorBidi" w:cstheme="minorBidi"/>
                <w:iCs/>
                <w:sz w:val="18"/>
                <w:szCs w:val="18"/>
              </w:rPr>
              <w:t>In line with the decision of the IOC Executive Council at its 55</w:t>
            </w:r>
            <w:r w:rsidR="00D57353" w:rsidRPr="00CA61A9">
              <w:rPr>
                <w:rFonts w:asciiTheme="minorBidi" w:hAnsiTheme="minorBidi" w:cstheme="minorBidi"/>
                <w:iCs/>
                <w:sz w:val="18"/>
                <w:szCs w:val="18"/>
                <w:vertAlign w:val="superscript"/>
              </w:rPr>
              <w:t>th</w:t>
            </w:r>
            <w:r w:rsidR="00D57353" w:rsidRPr="00CA61A9">
              <w:rPr>
                <w:rFonts w:asciiTheme="minorBidi" w:hAnsiTheme="minorBidi" w:cstheme="minorBidi"/>
                <w:iCs/>
                <w:sz w:val="18"/>
                <w:szCs w:val="18"/>
              </w:rPr>
              <w:t xml:space="preserve"> session requesting the Executive Secretary to prepare ‘an estimate of the budget, including the needs in human resources, necessary to sustainably deliver IOC’s core programmes and to expand its activities in response to increasing demands of Member States and other stakeholders’ (reference Resolution IOC-XXX-3 and Resolution EC-55/2) was implemented through Circular Letter 2912. Given the strategic programmatic scope and the mid- to long-term ambition of the proposal, it requires further discussion by Member States and will be part of the broad consultative process ‘IOC and the Future of the Ocean’.</w:t>
            </w:r>
            <w:r>
              <w:rPr>
                <w:rFonts w:asciiTheme="minorBidi" w:hAnsiTheme="minorBidi" w:cstheme="minorBidi"/>
                <w:iCs/>
                <w:sz w:val="18"/>
                <w:szCs w:val="18"/>
              </w:rPr>
              <w:t xml:space="preserve"> </w:t>
            </w:r>
          </w:p>
          <w:p w14:paraId="00C20C00" w14:textId="0D4B2502" w:rsidR="00D57353" w:rsidRPr="004D4EF2" w:rsidRDefault="0049029A" w:rsidP="00A24069">
            <w:pPr>
              <w:spacing w:before="120"/>
              <w:rPr>
                <w:rFonts w:asciiTheme="minorBidi" w:hAnsiTheme="minorBidi" w:cstheme="minorBidi"/>
                <w:b/>
                <w:bCs/>
                <w:iCs/>
                <w:sz w:val="18"/>
                <w:szCs w:val="18"/>
              </w:rPr>
            </w:pPr>
            <w:r w:rsidRPr="004D4EF2">
              <w:rPr>
                <w:rFonts w:asciiTheme="minorBidi" w:hAnsiTheme="minorBidi" w:cstheme="minorBidi"/>
                <w:b/>
                <w:bCs/>
                <w:iCs/>
                <w:sz w:val="18"/>
                <w:szCs w:val="18"/>
              </w:rPr>
              <w:t>1.2</w:t>
            </w:r>
            <w:r w:rsidR="00B5375D" w:rsidRPr="004D4EF2">
              <w:rPr>
                <w:rFonts w:asciiTheme="minorBidi" w:hAnsiTheme="minorBidi" w:cstheme="minorBidi"/>
                <w:b/>
                <w:bCs/>
                <w:iCs/>
                <w:sz w:val="18"/>
                <w:szCs w:val="18"/>
              </w:rPr>
              <w:t xml:space="preserve"> </w:t>
            </w:r>
            <w:r w:rsidR="00B5375D" w:rsidRPr="004D4EF2">
              <w:rPr>
                <w:rFonts w:asciiTheme="minorBidi" w:hAnsiTheme="minorBidi" w:cstheme="minorBidi"/>
                <w:b/>
                <w:bCs/>
                <w:sz w:val="18"/>
                <w:szCs w:val="18"/>
              </w:rPr>
              <w:t>Last session of UNESCO S</w:t>
            </w:r>
            <w:r w:rsidR="005A0A2A" w:rsidRPr="004D4EF2">
              <w:rPr>
                <w:rFonts w:asciiTheme="minorBidi" w:hAnsiTheme="minorBidi" w:cstheme="minorBidi"/>
                <w:b/>
                <w:bCs/>
                <w:sz w:val="18"/>
                <w:szCs w:val="18"/>
              </w:rPr>
              <w:t xml:space="preserve">tructured </w:t>
            </w:r>
            <w:r w:rsidR="00B5375D" w:rsidRPr="004D4EF2">
              <w:rPr>
                <w:rFonts w:asciiTheme="minorBidi" w:hAnsiTheme="minorBidi" w:cstheme="minorBidi"/>
                <w:b/>
                <w:bCs/>
                <w:sz w:val="18"/>
                <w:szCs w:val="18"/>
              </w:rPr>
              <w:t>F</w:t>
            </w:r>
            <w:r w:rsidR="005A0A2A" w:rsidRPr="004D4EF2">
              <w:rPr>
                <w:rFonts w:asciiTheme="minorBidi" w:hAnsiTheme="minorBidi" w:cstheme="minorBidi"/>
                <w:b/>
                <w:bCs/>
                <w:sz w:val="18"/>
                <w:szCs w:val="18"/>
              </w:rPr>
              <w:t xml:space="preserve">inancing </w:t>
            </w:r>
            <w:r w:rsidR="00B5375D" w:rsidRPr="004D4EF2">
              <w:rPr>
                <w:rFonts w:asciiTheme="minorBidi" w:hAnsiTheme="minorBidi" w:cstheme="minorBidi"/>
                <w:b/>
                <w:bCs/>
                <w:sz w:val="18"/>
                <w:szCs w:val="18"/>
              </w:rPr>
              <w:t>D</w:t>
            </w:r>
            <w:r w:rsidR="005A0A2A" w:rsidRPr="004D4EF2">
              <w:rPr>
                <w:rFonts w:asciiTheme="minorBidi" w:hAnsiTheme="minorBidi" w:cstheme="minorBidi"/>
                <w:b/>
                <w:bCs/>
                <w:sz w:val="18"/>
                <w:szCs w:val="18"/>
              </w:rPr>
              <w:t>ialogue</w:t>
            </w:r>
            <w:r w:rsidR="00B5375D" w:rsidRPr="004D4EF2">
              <w:rPr>
                <w:rFonts w:asciiTheme="minorBidi" w:hAnsiTheme="minorBidi" w:cstheme="minorBidi"/>
                <w:b/>
                <w:bCs/>
                <w:sz w:val="18"/>
                <w:szCs w:val="18"/>
              </w:rPr>
              <w:t xml:space="preserve"> took place in June 2024. IOC will continue to participate as needed. Longer-term, </w:t>
            </w:r>
            <w:r w:rsidR="00781F71" w:rsidRPr="004D4EF2">
              <w:rPr>
                <w:rFonts w:asciiTheme="minorBidi" w:hAnsiTheme="minorBidi" w:cstheme="minorBidi"/>
                <w:b/>
                <w:bCs/>
                <w:sz w:val="18"/>
                <w:szCs w:val="18"/>
              </w:rPr>
              <w:t>IOC resource mobilisation and communication strategy to support the M</w:t>
            </w:r>
            <w:r w:rsidR="005A0A2A" w:rsidRPr="004D4EF2">
              <w:rPr>
                <w:rFonts w:asciiTheme="minorBidi" w:hAnsiTheme="minorBidi" w:cstheme="minorBidi"/>
                <w:b/>
                <w:bCs/>
                <w:sz w:val="18"/>
                <w:szCs w:val="18"/>
              </w:rPr>
              <w:t>edium-</w:t>
            </w:r>
            <w:r w:rsidR="00781F71" w:rsidRPr="004D4EF2">
              <w:rPr>
                <w:rFonts w:asciiTheme="minorBidi" w:hAnsiTheme="minorBidi" w:cstheme="minorBidi"/>
                <w:b/>
                <w:bCs/>
                <w:sz w:val="18"/>
                <w:szCs w:val="18"/>
              </w:rPr>
              <w:t>T</w:t>
            </w:r>
            <w:r w:rsidR="005A0A2A" w:rsidRPr="004D4EF2">
              <w:rPr>
                <w:rFonts w:asciiTheme="minorBidi" w:hAnsiTheme="minorBidi" w:cstheme="minorBidi"/>
                <w:b/>
                <w:bCs/>
                <w:sz w:val="18"/>
                <w:szCs w:val="18"/>
              </w:rPr>
              <w:t xml:space="preserve">erm </w:t>
            </w:r>
            <w:r w:rsidR="00781F71" w:rsidRPr="004D4EF2">
              <w:rPr>
                <w:rFonts w:asciiTheme="minorBidi" w:hAnsiTheme="minorBidi" w:cstheme="minorBidi"/>
                <w:b/>
                <w:bCs/>
                <w:sz w:val="18"/>
                <w:szCs w:val="18"/>
              </w:rPr>
              <w:t>S</w:t>
            </w:r>
            <w:r w:rsidR="005A0A2A" w:rsidRPr="004D4EF2">
              <w:rPr>
                <w:rFonts w:asciiTheme="minorBidi" w:hAnsiTheme="minorBidi" w:cstheme="minorBidi"/>
                <w:b/>
                <w:bCs/>
                <w:sz w:val="18"/>
                <w:szCs w:val="18"/>
              </w:rPr>
              <w:t>trategy</w:t>
            </w:r>
            <w:r w:rsidR="00781F71" w:rsidRPr="004D4EF2">
              <w:rPr>
                <w:rFonts w:asciiTheme="minorBidi" w:hAnsiTheme="minorBidi" w:cstheme="minorBidi"/>
                <w:b/>
                <w:bCs/>
                <w:sz w:val="18"/>
                <w:szCs w:val="18"/>
              </w:rPr>
              <w:t xml:space="preserve"> implementation will </w:t>
            </w:r>
            <w:r w:rsidR="00B5375D" w:rsidRPr="004D4EF2">
              <w:rPr>
                <w:rFonts w:asciiTheme="minorBidi" w:hAnsiTheme="minorBidi" w:cstheme="minorBidi"/>
                <w:b/>
                <w:bCs/>
                <w:sz w:val="18"/>
                <w:szCs w:val="18"/>
              </w:rPr>
              <w:t xml:space="preserve">also </w:t>
            </w:r>
            <w:r w:rsidR="00781F71" w:rsidRPr="004D4EF2">
              <w:rPr>
                <w:rFonts w:asciiTheme="minorBidi" w:hAnsiTheme="minorBidi" w:cstheme="minorBidi"/>
                <w:b/>
                <w:bCs/>
                <w:sz w:val="18"/>
                <w:szCs w:val="18"/>
              </w:rPr>
              <w:t>be developed as part of the ‘</w:t>
            </w:r>
            <w:r w:rsidR="00B5375D" w:rsidRPr="004D4EF2">
              <w:rPr>
                <w:rFonts w:asciiTheme="minorBidi" w:hAnsiTheme="minorBidi" w:cstheme="minorBidi"/>
                <w:b/>
                <w:bCs/>
                <w:sz w:val="18"/>
                <w:szCs w:val="18"/>
              </w:rPr>
              <w:t>IOC &amp; the Future of the Ocean’ consultation process.</w:t>
            </w:r>
          </w:p>
        </w:tc>
        <w:tc>
          <w:tcPr>
            <w:tcW w:w="1727" w:type="dxa"/>
          </w:tcPr>
          <w:p w14:paraId="2F531373" w14:textId="3F9326F2" w:rsidR="00D57353" w:rsidRPr="00CA61A9" w:rsidRDefault="00D57353" w:rsidP="00A24069">
            <w:pPr>
              <w:spacing w:before="120"/>
              <w:rPr>
                <w:rFonts w:asciiTheme="minorBidi" w:hAnsiTheme="minorBidi" w:cstheme="minorBidi"/>
                <w:iCs/>
                <w:sz w:val="18"/>
                <w:szCs w:val="18"/>
              </w:rPr>
            </w:pPr>
            <w:r w:rsidRPr="00CA61A9">
              <w:rPr>
                <w:rFonts w:asciiTheme="minorBidi" w:hAnsiTheme="minorBidi" w:cstheme="minorBidi"/>
                <w:iCs/>
                <w:sz w:val="18"/>
                <w:szCs w:val="18"/>
              </w:rPr>
              <w:t>IOC ES in consultation with BSP and LA</w:t>
            </w:r>
          </w:p>
        </w:tc>
        <w:tc>
          <w:tcPr>
            <w:tcW w:w="1522" w:type="dxa"/>
          </w:tcPr>
          <w:p w14:paraId="211DE624" w14:textId="032B514E" w:rsidR="00D57353" w:rsidRPr="00CA61A9" w:rsidRDefault="00D57353" w:rsidP="00A24069">
            <w:pPr>
              <w:spacing w:before="120"/>
              <w:rPr>
                <w:rFonts w:asciiTheme="minorBidi" w:hAnsiTheme="minorBidi" w:cstheme="minorBidi"/>
                <w:iCs/>
                <w:sz w:val="18"/>
                <w:szCs w:val="18"/>
              </w:rPr>
            </w:pPr>
            <w:r w:rsidRPr="00CA61A9">
              <w:rPr>
                <w:rFonts w:asciiTheme="minorBidi" w:hAnsiTheme="minorBidi" w:cstheme="minorBidi"/>
                <w:iCs/>
                <w:sz w:val="18"/>
                <w:szCs w:val="18"/>
              </w:rPr>
              <w:t>Q</w:t>
            </w:r>
            <w:r w:rsidR="00710A61">
              <w:rPr>
                <w:rFonts w:asciiTheme="minorBidi" w:hAnsiTheme="minorBidi" w:cstheme="minorBidi"/>
                <w:iCs/>
                <w:sz w:val="18"/>
                <w:szCs w:val="18"/>
              </w:rPr>
              <w:t>4</w:t>
            </w:r>
            <w:r w:rsidRPr="00CA61A9">
              <w:rPr>
                <w:rFonts w:asciiTheme="minorBidi" w:hAnsiTheme="minorBidi" w:cstheme="minorBidi"/>
                <w:iCs/>
                <w:sz w:val="18"/>
                <w:szCs w:val="18"/>
              </w:rPr>
              <w:t xml:space="preserve"> 2025 – document for the </w:t>
            </w:r>
            <w:r w:rsidR="00710A61">
              <w:rPr>
                <w:rFonts w:asciiTheme="minorBidi" w:hAnsiTheme="minorBidi" w:cstheme="minorBidi"/>
                <w:iCs/>
                <w:sz w:val="18"/>
                <w:szCs w:val="18"/>
              </w:rPr>
              <w:t>IFAG discussion and EC-59</w:t>
            </w:r>
          </w:p>
        </w:tc>
      </w:tr>
      <w:tr w:rsidR="00D57353" w:rsidRPr="00CA61A9" w14:paraId="0447130C" w14:textId="77777777" w:rsidTr="00D57353">
        <w:tc>
          <w:tcPr>
            <w:tcW w:w="3025" w:type="dxa"/>
            <w:vMerge/>
          </w:tcPr>
          <w:p w14:paraId="50F7AFE1" w14:textId="77777777" w:rsidR="00D57353" w:rsidRPr="00CA61A9" w:rsidRDefault="00D57353" w:rsidP="00A24069">
            <w:pPr>
              <w:spacing w:before="120"/>
              <w:rPr>
                <w:rFonts w:asciiTheme="minorBidi" w:hAnsiTheme="minorBidi" w:cstheme="minorBidi"/>
                <w:sz w:val="18"/>
                <w:szCs w:val="18"/>
              </w:rPr>
            </w:pPr>
          </w:p>
        </w:tc>
        <w:tc>
          <w:tcPr>
            <w:tcW w:w="4098" w:type="dxa"/>
          </w:tcPr>
          <w:p w14:paraId="49231C1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1.2 In cooperation with the UNESCO Bureau for Strategic Planning (BSP), set up a Structured Financing Dialogue with a view to attracting new donors. To aid with this, identify a small group of Member States, perhaps current main contributors, that could serve as advocates and lead peer-to-peer resource mobilization and engagement conversations;</w:t>
            </w:r>
          </w:p>
        </w:tc>
        <w:tc>
          <w:tcPr>
            <w:tcW w:w="3904" w:type="dxa"/>
            <w:vMerge/>
          </w:tcPr>
          <w:p w14:paraId="62F8D214" w14:textId="77777777" w:rsidR="00D57353" w:rsidRPr="00CA61A9" w:rsidRDefault="00D57353" w:rsidP="00A24069">
            <w:pPr>
              <w:spacing w:before="120"/>
              <w:rPr>
                <w:rFonts w:asciiTheme="minorBidi" w:hAnsiTheme="minorBidi" w:cstheme="minorBidi"/>
                <w:sz w:val="18"/>
                <w:szCs w:val="18"/>
              </w:rPr>
            </w:pPr>
          </w:p>
        </w:tc>
        <w:tc>
          <w:tcPr>
            <w:tcW w:w="1727" w:type="dxa"/>
          </w:tcPr>
          <w:p w14:paraId="7EA0268C" w14:textId="24E5144F"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in consultation with BSP &amp; IOC Officers</w:t>
            </w:r>
          </w:p>
        </w:tc>
        <w:tc>
          <w:tcPr>
            <w:tcW w:w="1522" w:type="dxa"/>
          </w:tcPr>
          <w:p w14:paraId="60F3CE88" w14:textId="110BDA14" w:rsidR="00D57353" w:rsidRPr="00CA61A9" w:rsidRDefault="0065285E" w:rsidP="00A24069">
            <w:pPr>
              <w:spacing w:before="120"/>
              <w:rPr>
                <w:rFonts w:asciiTheme="minorBidi" w:hAnsiTheme="minorBidi" w:cstheme="minorBidi"/>
                <w:sz w:val="18"/>
                <w:szCs w:val="18"/>
              </w:rPr>
            </w:pPr>
            <w:r w:rsidRPr="0049029A">
              <w:rPr>
                <w:rFonts w:asciiTheme="minorBidi" w:hAnsiTheme="minorBidi" w:cstheme="minorBidi"/>
                <w:b/>
                <w:bCs/>
                <w:sz w:val="18"/>
                <w:szCs w:val="18"/>
              </w:rPr>
              <w:t>Completed.</w:t>
            </w:r>
            <w:r>
              <w:rPr>
                <w:rFonts w:asciiTheme="minorBidi" w:hAnsiTheme="minorBidi" w:cstheme="minorBidi"/>
                <w:sz w:val="18"/>
                <w:szCs w:val="18"/>
              </w:rPr>
              <w:t xml:space="preserve"> </w:t>
            </w:r>
          </w:p>
        </w:tc>
      </w:tr>
      <w:tr w:rsidR="00D57353" w:rsidRPr="00CA61A9" w14:paraId="0876CAFB" w14:textId="77777777" w:rsidTr="00D57353">
        <w:tc>
          <w:tcPr>
            <w:tcW w:w="3025" w:type="dxa"/>
            <w:vMerge/>
          </w:tcPr>
          <w:p w14:paraId="35B26C75" w14:textId="77777777" w:rsidR="00D57353" w:rsidRPr="00CA61A9" w:rsidRDefault="00D57353" w:rsidP="00A24069">
            <w:pPr>
              <w:spacing w:before="120"/>
              <w:rPr>
                <w:rFonts w:asciiTheme="minorBidi" w:hAnsiTheme="minorBidi" w:cstheme="minorBidi"/>
                <w:sz w:val="18"/>
                <w:szCs w:val="18"/>
              </w:rPr>
            </w:pPr>
          </w:p>
        </w:tc>
        <w:tc>
          <w:tcPr>
            <w:tcW w:w="4098" w:type="dxa"/>
          </w:tcPr>
          <w:p w14:paraId="18F787B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1.3 Explore options for convening a High-Level Forum of decision-making, on a quadrennial basis, possibly in connection with the IOC Assembly; </w:t>
            </w:r>
          </w:p>
        </w:tc>
        <w:tc>
          <w:tcPr>
            <w:tcW w:w="3904" w:type="dxa"/>
          </w:tcPr>
          <w:p w14:paraId="6B1E4EB2"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To be postponed pending the initiation and outcomes of the Member States consultation on ‘the IOC and the future of the ocean’, which will identify knowledge gaps and adequacy of science inclusion within multilateral ocean frameworks, to be implemented from June 2024-June2027</w:t>
            </w:r>
          </w:p>
        </w:tc>
        <w:tc>
          <w:tcPr>
            <w:tcW w:w="1727" w:type="dxa"/>
          </w:tcPr>
          <w:p w14:paraId="04BDECFE" w14:textId="2EB0C1AC"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IOC ES and DC </w:t>
            </w:r>
          </w:p>
        </w:tc>
        <w:tc>
          <w:tcPr>
            <w:tcW w:w="1522" w:type="dxa"/>
          </w:tcPr>
          <w:p w14:paraId="0539762A" w14:textId="44149A1B"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Q2 2027</w:t>
            </w:r>
            <w:r w:rsidR="00B5375D">
              <w:rPr>
                <w:rFonts w:asciiTheme="minorBidi" w:hAnsiTheme="minorBidi" w:cstheme="minorBidi"/>
                <w:sz w:val="18"/>
                <w:szCs w:val="18"/>
              </w:rPr>
              <w:t xml:space="preserve"> </w:t>
            </w:r>
            <w:r w:rsidR="00B5375D" w:rsidRPr="004D4EF2">
              <w:rPr>
                <w:rFonts w:asciiTheme="minorBidi" w:hAnsiTheme="minorBidi" w:cstheme="minorBidi"/>
                <w:b/>
                <w:bCs/>
                <w:sz w:val="18"/>
                <w:szCs w:val="18"/>
              </w:rPr>
              <w:t>(A-34)</w:t>
            </w:r>
          </w:p>
        </w:tc>
      </w:tr>
      <w:tr w:rsidR="00D57353" w:rsidRPr="00CA61A9" w14:paraId="1FF6AE30" w14:textId="77777777" w:rsidTr="00D57353">
        <w:tc>
          <w:tcPr>
            <w:tcW w:w="3025" w:type="dxa"/>
            <w:vMerge/>
          </w:tcPr>
          <w:p w14:paraId="5055A89E" w14:textId="77777777" w:rsidR="00D57353" w:rsidRPr="00CA61A9" w:rsidRDefault="00D57353" w:rsidP="00A24069">
            <w:pPr>
              <w:spacing w:before="120"/>
              <w:rPr>
                <w:rFonts w:asciiTheme="minorBidi" w:hAnsiTheme="minorBidi" w:cstheme="minorBidi"/>
                <w:sz w:val="18"/>
                <w:szCs w:val="18"/>
              </w:rPr>
            </w:pPr>
          </w:p>
        </w:tc>
        <w:tc>
          <w:tcPr>
            <w:tcW w:w="4098" w:type="dxa"/>
          </w:tcPr>
          <w:p w14:paraId="0132A066"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1.4. Develop strategic messaging around an IOC-wide guiding framework of Sustainable Ocean Planning and Management and strongly position this framework within the Ocean Decade.</w:t>
            </w:r>
          </w:p>
        </w:tc>
        <w:tc>
          <w:tcPr>
            <w:tcW w:w="3904" w:type="dxa"/>
          </w:tcPr>
          <w:p w14:paraId="0E402B38" w14:textId="62E7E082" w:rsidR="00D57353" w:rsidRPr="004D4EF2" w:rsidRDefault="00237DE0"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EC-57 provided inputs to the Draft Strategy on SOPM</w:t>
            </w:r>
            <w:r w:rsidR="006F2406" w:rsidRPr="004D4EF2">
              <w:rPr>
                <w:rFonts w:asciiTheme="minorBidi" w:hAnsiTheme="minorBidi" w:cstheme="minorBidi"/>
                <w:b/>
                <w:bCs/>
                <w:sz w:val="18"/>
                <w:szCs w:val="18"/>
              </w:rPr>
              <w:t xml:space="preserve">, which identifies </w:t>
            </w:r>
            <w:r w:rsidR="00D73A2A" w:rsidRPr="004D4EF2">
              <w:rPr>
                <w:rFonts w:asciiTheme="minorBidi" w:hAnsiTheme="minorBidi" w:cstheme="minorBidi"/>
                <w:b/>
                <w:bCs/>
                <w:sz w:val="18"/>
                <w:szCs w:val="18"/>
              </w:rPr>
              <w:t>strategic objectives and messages,</w:t>
            </w:r>
            <w:r w:rsidRPr="004D4EF2">
              <w:rPr>
                <w:rFonts w:asciiTheme="minorBidi" w:hAnsiTheme="minorBidi" w:cstheme="minorBidi"/>
                <w:b/>
                <w:bCs/>
                <w:sz w:val="18"/>
                <w:szCs w:val="18"/>
              </w:rPr>
              <w:t xml:space="preserve"> and decided to establish an intersession</w:t>
            </w:r>
            <w:r w:rsidR="006F2406" w:rsidRPr="004D4EF2">
              <w:rPr>
                <w:rFonts w:asciiTheme="minorBidi" w:hAnsiTheme="minorBidi" w:cstheme="minorBidi"/>
                <w:b/>
                <w:bCs/>
                <w:sz w:val="18"/>
                <w:szCs w:val="18"/>
              </w:rPr>
              <w:t>al</w:t>
            </w:r>
            <w:r w:rsidRPr="004D4EF2">
              <w:rPr>
                <w:rFonts w:asciiTheme="minorBidi" w:hAnsiTheme="minorBidi" w:cstheme="minorBidi"/>
                <w:b/>
                <w:bCs/>
                <w:sz w:val="18"/>
                <w:szCs w:val="18"/>
              </w:rPr>
              <w:t xml:space="preserve"> Working Group to finalise the Strategy and</w:t>
            </w:r>
            <w:r w:rsidR="006F2406" w:rsidRPr="004D4EF2">
              <w:rPr>
                <w:rFonts w:asciiTheme="minorBidi" w:hAnsiTheme="minorBidi" w:cstheme="minorBidi"/>
                <w:b/>
                <w:bCs/>
                <w:sz w:val="18"/>
                <w:szCs w:val="18"/>
              </w:rPr>
              <w:t xml:space="preserve"> related </w:t>
            </w:r>
            <w:r w:rsidRPr="004D4EF2">
              <w:rPr>
                <w:rFonts w:asciiTheme="minorBidi" w:hAnsiTheme="minorBidi" w:cstheme="minorBidi"/>
                <w:b/>
                <w:bCs/>
                <w:sz w:val="18"/>
                <w:szCs w:val="18"/>
              </w:rPr>
              <w:t xml:space="preserve"> Implementation Plan.</w:t>
            </w:r>
            <w:r w:rsidR="00D57353" w:rsidRPr="004D4EF2">
              <w:rPr>
                <w:rFonts w:asciiTheme="minorBidi" w:hAnsiTheme="minorBidi" w:cstheme="minorBidi"/>
                <w:b/>
                <w:bCs/>
                <w:sz w:val="18"/>
                <w:szCs w:val="18"/>
              </w:rPr>
              <w:t xml:space="preserve"> </w:t>
            </w:r>
            <w:r w:rsidRPr="004D4EF2">
              <w:rPr>
                <w:rFonts w:asciiTheme="minorBidi" w:hAnsiTheme="minorBidi" w:cstheme="minorBidi"/>
                <w:b/>
                <w:bCs/>
                <w:sz w:val="18"/>
                <w:szCs w:val="18"/>
              </w:rPr>
              <w:t xml:space="preserve">The Working </w:t>
            </w:r>
            <w:r w:rsidRPr="004D4EF2">
              <w:rPr>
                <w:rFonts w:asciiTheme="minorBidi" w:hAnsiTheme="minorBidi" w:cstheme="minorBidi"/>
                <w:b/>
                <w:bCs/>
                <w:sz w:val="18"/>
                <w:szCs w:val="18"/>
              </w:rPr>
              <w:lastRenderedPageBreak/>
              <w:t>Group met once in person and twice online</w:t>
            </w:r>
            <w:r w:rsidR="00D73A2A" w:rsidRPr="004D4EF2">
              <w:rPr>
                <w:rFonts w:asciiTheme="minorBidi" w:hAnsiTheme="minorBidi" w:cstheme="minorBidi"/>
                <w:b/>
                <w:bCs/>
                <w:sz w:val="18"/>
                <w:szCs w:val="18"/>
              </w:rPr>
              <w:t xml:space="preserve"> in 2025</w:t>
            </w:r>
            <w:r w:rsidRPr="004D4EF2">
              <w:rPr>
                <w:rFonts w:asciiTheme="minorBidi" w:hAnsiTheme="minorBidi" w:cstheme="minorBidi"/>
                <w:b/>
                <w:bCs/>
                <w:sz w:val="18"/>
                <w:szCs w:val="18"/>
              </w:rPr>
              <w:t xml:space="preserve">. The </w:t>
            </w:r>
            <w:r w:rsidR="00D73A2A" w:rsidRPr="004D4EF2">
              <w:rPr>
                <w:rFonts w:asciiTheme="minorBidi" w:hAnsiTheme="minorBidi" w:cstheme="minorBidi"/>
                <w:b/>
                <w:bCs/>
                <w:sz w:val="18"/>
                <w:szCs w:val="18"/>
              </w:rPr>
              <w:t xml:space="preserve">resulting </w:t>
            </w:r>
            <w:r w:rsidR="00D57353" w:rsidRPr="004D4EF2">
              <w:rPr>
                <w:rFonts w:asciiTheme="minorBidi" w:hAnsiTheme="minorBidi" w:cstheme="minorBidi"/>
                <w:b/>
                <w:bCs/>
                <w:sz w:val="18"/>
                <w:szCs w:val="18"/>
              </w:rPr>
              <w:t xml:space="preserve">Draft IOC wide Strategy document </w:t>
            </w:r>
            <w:r w:rsidRPr="004D4EF2">
              <w:rPr>
                <w:rFonts w:asciiTheme="minorBidi" w:hAnsiTheme="minorBidi" w:cstheme="minorBidi"/>
                <w:b/>
                <w:bCs/>
                <w:sz w:val="18"/>
                <w:szCs w:val="18"/>
              </w:rPr>
              <w:t xml:space="preserve">is put forward to the </w:t>
            </w:r>
            <w:r w:rsidR="00D73A2A" w:rsidRPr="004D4EF2">
              <w:rPr>
                <w:rFonts w:asciiTheme="minorBidi" w:hAnsiTheme="minorBidi" w:cstheme="minorBidi"/>
                <w:b/>
                <w:bCs/>
                <w:sz w:val="18"/>
                <w:szCs w:val="18"/>
              </w:rPr>
              <w:t>33</w:t>
            </w:r>
            <w:r w:rsidR="00D73A2A" w:rsidRPr="004D4EF2">
              <w:rPr>
                <w:rFonts w:asciiTheme="minorBidi" w:hAnsiTheme="minorBidi" w:cstheme="minorBidi"/>
                <w:b/>
                <w:bCs/>
                <w:sz w:val="18"/>
                <w:szCs w:val="18"/>
                <w:vertAlign w:val="superscript"/>
              </w:rPr>
              <w:t>rd</w:t>
            </w:r>
            <w:r w:rsidR="00D73A2A" w:rsidRPr="004D4EF2">
              <w:rPr>
                <w:rFonts w:asciiTheme="minorBidi" w:hAnsiTheme="minorBidi" w:cstheme="minorBidi"/>
                <w:b/>
                <w:bCs/>
                <w:sz w:val="18"/>
                <w:szCs w:val="18"/>
              </w:rPr>
              <w:t xml:space="preserve"> </w:t>
            </w:r>
            <w:r w:rsidRPr="004D4EF2">
              <w:rPr>
                <w:rFonts w:asciiTheme="minorBidi" w:hAnsiTheme="minorBidi" w:cstheme="minorBidi"/>
                <w:b/>
                <w:bCs/>
                <w:sz w:val="18"/>
                <w:szCs w:val="18"/>
              </w:rPr>
              <w:t>IOC Assembly for consideration. Draft Terms of Reference for a Working Group on SOPM, post-assembly are also put forward</w:t>
            </w:r>
            <w:r w:rsidR="006F2406" w:rsidRPr="004D4EF2">
              <w:rPr>
                <w:rFonts w:asciiTheme="minorBidi" w:hAnsiTheme="minorBidi" w:cstheme="minorBidi"/>
                <w:b/>
                <w:bCs/>
                <w:sz w:val="18"/>
                <w:szCs w:val="18"/>
              </w:rPr>
              <w:t xml:space="preserve"> to</w:t>
            </w:r>
            <w:r w:rsidRPr="004D4EF2">
              <w:rPr>
                <w:rFonts w:asciiTheme="minorBidi" w:hAnsiTheme="minorBidi" w:cstheme="minorBidi"/>
                <w:b/>
                <w:bCs/>
                <w:sz w:val="18"/>
                <w:szCs w:val="18"/>
              </w:rPr>
              <w:t xml:space="preserve"> guide the implementation of the St</w:t>
            </w:r>
            <w:r w:rsidR="00D73A2A" w:rsidRPr="004D4EF2">
              <w:rPr>
                <w:rFonts w:asciiTheme="minorBidi" w:hAnsiTheme="minorBidi" w:cstheme="minorBidi"/>
                <w:b/>
                <w:bCs/>
                <w:sz w:val="18"/>
                <w:szCs w:val="18"/>
              </w:rPr>
              <w:t>r</w:t>
            </w:r>
            <w:r w:rsidRPr="004D4EF2">
              <w:rPr>
                <w:rFonts w:asciiTheme="minorBidi" w:hAnsiTheme="minorBidi" w:cstheme="minorBidi"/>
                <w:b/>
                <w:bCs/>
                <w:sz w:val="18"/>
                <w:szCs w:val="18"/>
              </w:rPr>
              <w:t>ategy</w:t>
            </w:r>
            <w:r w:rsidR="00D73A2A" w:rsidRPr="004D4EF2">
              <w:rPr>
                <w:rFonts w:asciiTheme="minorBidi" w:hAnsiTheme="minorBidi" w:cstheme="minorBidi"/>
                <w:b/>
                <w:bCs/>
                <w:sz w:val="18"/>
                <w:szCs w:val="18"/>
              </w:rPr>
              <w:t xml:space="preserve"> for 2025</w:t>
            </w:r>
            <w:r w:rsidR="00EA08A7">
              <w:rPr>
                <w:rFonts w:asciiTheme="minorBidi" w:hAnsiTheme="minorBidi" w:cstheme="minorBidi"/>
                <w:b/>
                <w:bCs/>
                <w:sz w:val="18"/>
                <w:szCs w:val="18"/>
              </w:rPr>
              <w:t>–</w:t>
            </w:r>
            <w:proofErr w:type="gramStart"/>
            <w:r w:rsidR="00D73A2A" w:rsidRPr="004D4EF2">
              <w:rPr>
                <w:rFonts w:asciiTheme="minorBidi" w:hAnsiTheme="minorBidi" w:cstheme="minorBidi"/>
                <w:b/>
                <w:bCs/>
                <w:sz w:val="18"/>
                <w:szCs w:val="18"/>
              </w:rPr>
              <w:t>2030</w:t>
            </w:r>
            <w:r w:rsidRPr="004D4EF2">
              <w:rPr>
                <w:rFonts w:asciiTheme="minorBidi" w:hAnsiTheme="minorBidi" w:cstheme="minorBidi"/>
                <w:b/>
                <w:bCs/>
                <w:sz w:val="18"/>
                <w:szCs w:val="18"/>
              </w:rPr>
              <w:t xml:space="preserve">, </w:t>
            </w:r>
            <w:r w:rsidR="00D73A2A" w:rsidRPr="004D4EF2">
              <w:rPr>
                <w:rFonts w:asciiTheme="minorBidi" w:hAnsiTheme="minorBidi" w:cstheme="minorBidi"/>
                <w:b/>
                <w:bCs/>
                <w:sz w:val="18"/>
                <w:szCs w:val="18"/>
              </w:rPr>
              <w:t>and</w:t>
            </w:r>
            <w:proofErr w:type="gramEnd"/>
            <w:r w:rsidR="00D73A2A" w:rsidRPr="004D4EF2">
              <w:rPr>
                <w:rFonts w:asciiTheme="minorBidi" w:hAnsiTheme="minorBidi" w:cstheme="minorBidi"/>
                <w:b/>
                <w:bCs/>
                <w:sz w:val="18"/>
                <w:szCs w:val="18"/>
              </w:rPr>
              <w:t xml:space="preserve"> address any need for updates in relation to the IOC and Future consultation process, as it relates to SOPM. The IOC SOPM Strategy outputs are being reflect</w:t>
            </w:r>
            <w:r w:rsidR="005A0A2A" w:rsidRPr="004D4EF2">
              <w:rPr>
                <w:rFonts w:asciiTheme="minorBidi" w:hAnsiTheme="minorBidi" w:cstheme="minorBidi"/>
                <w:b/>
                <w:bCs/>
                <w:sz w:val="18"/>
                <w:szCs w:val="18"/>
              </w:rPr>
              <w:t>ed</w:t>
            </w:r>
            <w:r w:rsidR="00D73A2A" w:rsidRPr="004D4EF2">
              <w:rPr>
                <w:rFonts w:asciiTheme="minorBidi" w:hAnsiTheme="minorBidi" w:cstheme="minorBidi"/>
                <w:b/>
                <w:bCs/>
                <w:sz w:val="18"/>
                <w:szCs w:val="18"/>
              </w:rPr>
              <w:t xml:space="preserve"> as part of the implementation plan of the</w:t>
            </w:r>
            <w:r w:rsidRPr="004D4EF2">
              <w:rPr>
                <w:rFonts w:asciiTheme="minorBidi" w:hAnsiTheme="minorBidi" w:cstheme="minorBidi"/>
                <w:b/>
                <w:bCs/>
                <w:sz w:val="18"/>
                <w:szCs w:val="18"/>
              </w:rPr>
              <w:t xml:space="preserve"> Decade </w:t>
            </w:r>
            <w:r w:rsidR="00D57353" w:rsidRPr="004D4EF2">
              <w:rPr>
                <w:rFonts w:asciiTheme="minorBidi" w:hAnsiTheme="minorBidi" w:cstheme="minorBidi"/>
                <w:b/>
                <w:bCs/>
                <w:sz w:val="18"/>
                <w:szCs w:val="18"/>
              </w:rPr>
              <w:t>Sustainable Ocean Planning Programme (SOP) launched at the Barcelona Conference</w:t>
            </w:r>
            <w:r w:rsidRPr="004D4EF2">
              <w:rPr>
                <w:rFonts w:asciiTheme="minorBidi" w:hAnsiTheme="minorBidi" w:cstheme="minorBidi"/>
                <w:b/>
                <w:bCs/>
                <w:sz w:val="18"/>
                <w:szCs w:val="18"/>
              </w:rPr>
              <w:t xml:space="preserve">, </w:t>
            </w:r>
            <w:r w:rsidR="00D73A2A" w:rsidRPr="004D4EF2">
              <w:rPr>
                <w:rFonts w:asciiTheme="minorBidi" w:hAnsiTheme="minorBidi" w:cstheme="minorBidi"/>
                <w:b/>
                <w:bCs/>
                <w:sz w:val="18"/>
                <w:szCs w:val="18"/>
              </w:rPr>
              <w:t>for which a</w:t>
            </w:r>
            <w:r w:rsidR="00D57353" w:rsidRPr="004D4EF2">
              <w:rPr>
                <w:rFonts w:asciiTheme="minorBidi" w:hAnsiTheme="minorBidi" w:cstheme="minorBidi"/>
                <w:b/>
                <w:bCs/>
                <w:sz w:val="18"/>
                <w:szCs w:val="18"/>
              </w:rPr>
              <w:t xml:space="preserve">n interim </w:t>
            </w:r>
            <w:r w:rsidR="00D73A2A" w:rsidRPr="004D4EF2">
              <w:rPr>
                <w:rFonts w:asciiTheme="minorBidi" w:hAnsiTheme="minorBidi" w:cstheme="minorBidi"/>
                <w:b/>
                <w:bCs/>
                <w:sz w:val="18"/>
                <w:szCs w:val="18"/>
              </w:rPr>
              <w:t>advisory committee</w:t>
            </w:r>
            <w:r w:rsidR="00D57353" w:rsidRPr="004D4EF2">
              <w:rPr>
                <w:rFonts w:asciiTheme="minorBidi" w:hAnsiTheme="minorBidi" w:cstheme="minorBidi"/>
                <w:b/>
                <w:bCs/>
                <w:sz w:val="18"/>
                <w:szCs w:val="18"/>
              </w:rPr>
              <w:t xml:space="preserve"> has been established to further advance the development of the structural elements </w:t>
            </w:r>
            <w:r w:rsidR="00D73A2A" w:rsidRPr="004D4EF2">
              <w:rPr>
                <w:rFonts w:asciiTheme="minorBidi" w:hAnsiTheme="minorBidi" w:cstheme="minorBidi"/>
                <w:b/>
                <w:bCs/>
                <w:sz w:val="18"/>
                <w:szCs w:val="18"/>
              </w:rPr>
              <w:t>of the</w:t>
            </w:r>
            <w:r w:rsidR="00D57353" w:rsidRPr="004D4EF2">
              <w:rPr>
                <w:rFonts w:asciiTheme="minorBidi" w:hAnsiTheme="minorBidi" w:cstheme="minorBidi"/>
                <w:b/>
                <w:bCs/>
                <w:sz w:val="18"/>
                <w:szCs w:val="18"/>
              </w:rPr>
              <w:t xml:space="preserve"> programme.</w:t>
            </w:r>
          </w:p>
        </w:tc>
        <w:tc>
          <w:tcPr>
            <w:tcW w:w="1727" w:type="dxa"/>
          </w:tcPr>
          <w:p w14:paraId="4EC6C5BB" w14:textId="0C0258B9"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lastRenderedPageBreak/>
              <w:t xml:space="preserve">IOC ES and DC </w:t>
            </w:r>
          </w:p>
        </w:tc>
        <w:tc>
          <w:tcPr>
            <w:tcW w:w="1522" w:type="dxa"/>
          </w:tcPr>
          <w:p w14:paraId="3A9C79BA" w14:textId="79CAD202" w:rsidR="00D57353" w:rsidRPr="00B5375D" w:rsidRDefault="00237DE0" w:rsidP="00A24069">
            <w:pPr>
              <w:spacing w:before="120"/>
              <w:rPr>
                <w:rFonts w:asciiTheme="minorBidi" w:hAnsiTheme="minorBidi" w:cstheme="minorBidi"/>
                <w:b/>
                <w:bCs/>
                <w:sz w:val="18"/>
                <w:szCs w:val="18"/>
              </w:rPr>
            </w:pPr>
            <w:r w:rsidRPr="00B5375D">
              <w:rPr>
                <w:rFonts w:asciiTheme="minorBidi" w:hAnsiTheme="minorBidi" w:cstheme="minorBidi"/>
                <w:b/>
                <w:bCs/>
                <w:sz w:val="18"/>
                <w:szCs w:val="18"/>
              </w:rPr>
              <w:t>Completed</w:t>
            </w:r>
          </w:p>
        </w:tc>
      </w:tr>
      <w:tr w:rsidR="00D57353" w:rsidRPr="00CA61A9" w14:paraId="409C2C87" w14:textId="77777777" w:rsidTr="00D57353">
        <w:tc>
          <w:tcPr>
            <w:tcW w:w="3025" w:type="dxa"/>
            <w:vMerge w:val="restart"/>
          </w:tcPr>
          <w:p w14:paraId="55852434" w14:textId="77777777" w:rsidR="00D57353" w:rsidRPr="00CA61A9" w:rsidRDefault="00D57353" w:rsidP="00A24069">
            <w:pPr>
              <w:spacing w:before="120"/>
              <w:rPr>
                <w:rFonts w:asciiTheme="minorBidi" w:hAnsiTheme="minorBidi" w:cstheme="minorBidi"/>
                <w:iCs/>
                <w:sz w:val="18"/>
                <w:szCs w:val="18"/>
              </w:rPr>
            </w:pPr>
            <w:r w:rsidRPr="00CA61A9">
              <w:rPr>
                <w:rFonts w:asciiTheme="minorBidi" w:hAnsiTheme="minorBidi" w:cstheme="minorBidi"/>
                <w:b/>
                <w:bCs/>
                <w:iCs/>
                <w:sz w:val="18"/>
                <w:szCs w:val="18"/>
              </w:rPr>
              <w:t>Recommendation 2</w:t>
            </w:r>
            <w:r w:rsidRPr="00CA61A9">
              <w:rPr>
                <w:rFonts w:asciiTheme="minorBidi" w:hAnsiTheme="minorBidi" w:cstheme="minorBidi"/>
                <w:iCs/>
                <w:sz w:val="18"/>
                <w:szCs w:val="18"/>
              </w:rPr>
              <w:t>:</w:t>
            </w:r>
          </w:p>
          <w:p w14:paraId="6FCAC4A4" w14:textId="77777777" w:rsidR="00D57353" w:rsidRPr="00CA61A9" w:rsidRDefault="00D57353" w:rsidP="00A24069">
            <w:pPr>
              <w:spacing w:before="120"/>
              <w:rPr>
                <w:rFonts w:asciiTheme="minorBidi" w:hAnsiTheme="minorBidi" w:cstheme="minorBidi"/>
                <w:color w:val="000000" w:themeColor="text1"/>
                <w:sz w:val="18"/>
                <w:szCs w:val="18"/>
              </w:rPr>
            </w:pPr>
            <w:r w:rsidRPr="00CA61A9">
              <w:rPr>
                <w:rFonts w:asciiTheme="minorBidi" w:eastAsia="Arial" w:hAnsiTheme="minorBidi" w:cstheme="minorBidi"/>
                <w:sz w:val="18"/>
                <w:szCs w:val="18"/>
                <w:lang w:eastAsia="en-US"/>
              </w:rPr>
              <w:t xml:space="preserve">By June 2022 – Develop in partnership with other agencies a Results Framework for the United Nations Decade of Ocean Science for Sustainable Development, clearly identifying the objectives, intermediate objectives, indicators, and indicative owners across the UN System and wider </w:t>
            </w:r>
            <w:proofErr w:type="gramStart"/>
            <w:r w:rsidRPr="00CA61A9">
              <w:rPr>
                <w:rFonts w:asciiTheme="minorBidi" w:eastAsia="Arial" w:hAnsiTheme="minorBidi" w:cstheme="minorBidi"/>
                <w:sz w:val="18"/>
                <w:szCs w:val="18"/>
                <w:lang w:eastAsia="en-US"/>
              </w:rPr>
              <w:t>in order to</w:t>
            </w:r>
            <w:proofErr w:type="gramEnd"/>
            <w:r w:rsidRPr="00CA61A9">
              <w:rPr>
                <w:rFonts w:asciiTheme="minorBidi" w:eastAsia="Arial" w:hAnsiTheme="minorBidi" w:cstheme="minorBidi"/>
                <w:sz w:val="18"/>
                <w:szCs w:val="18"/>
                <w:lang w:eastAsia="en-US"/>
              </w:rPr>
              <w:t xml:space="preserve"> monitor and evaluate progress against the Decade’s objectives.</w:t>
            </w:r>
          </w:p>
        </w:tc>
        <w:tc>
          <w:tcPr>
            <w:tcW w:w="4098" w:type="dxa"/>
          </w:tcPr>
          <w:p w14:paraId="50E6BB0B"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2.1 Commence rollout of the first iteration of the Results Framework for the Ocean Decade at the latest by mid-2022. The Results Framework should comprise a minimum outcomes, intermediate outcomes, outputs, baselines, and indicative owners; </w:t>
            </w:r>
          </w:p>
        </w:tc>
        <w:tc>
          <w:tcPr>
            <w:tcW w:w="3904" w:type="dxa"/>
          </w:tcPr>
          <w:p w14:paraId="3EA26B64"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Full rollout completed in January 2023. </w:t>
            </w:r>
          </w:p>
        </w:tc>
        <w:tc>
          <w:tcPr>
            <w:tcW w:w="1727" w:type="dxa"/>
          </w:tcPr>
          <w:p w14:paraId="77FE9F5C"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and DCU</w:t>
            </w:r>
          </w:p>
        </w:tc>
        <w:tc>
          <w:tcPr>
            <w:tcW w:w="1522" w:type="dxa"/>
          </w:tcPr>
          <w:p w14:paraId="7E3489EC" w14:textId="28F46070" w:rsidR="00D57353" w:rsidRPr="009A1ACF" w:rsidRDefault="00D57353" w:rsidP="00A24069">
            <w:pPr>
              <w:spacing w:before="120"/>
              <w:rPr>
                <w:rFonts w:asciiTheme="minorBidi" w:hAnsiTheme="minorBidi" w:cstheme="minorBidi"/>
                <w:b/>
                <w:bCs/>
                <w:sz w:val="18"/>
                <w:szCs w:val="18"/>
              </w:rPr>
            </w:pPr>
            <w:r w:rsidRPr="009A1ACF">
              <w:rPr>
                <w:rFonts w:asciiTheme="minorBidi" w:hAnsiTheme="minorBidi" w:cstheme="minorBidi"/>
                <w:b/>
                <w:bCs/>
                <w:sz w:val="18"/>
                <w:szCs w:val="18"/>
              </w:rPr>
              <w:t>Completed</w:t>
            </w:r>
          </w:p>
        </w:tc>
      </w:tr>
      <w:tr w:rsidR="00D57353" w:rsidRPr="00CA61A9" w14:paraId="10EBC85D" w14:textId="77777777" w:rsidTr="00D57353">
        <w:tc>
          <w:tcPr>
            <w:tcW w:w="3025" w:type="dxa"/>
            <w:vMerge/>
          </w:tcPr>
          <w:p w14:paraId="42651261" w14:textId="77777777" w:rsidR="00D57353" w:rsidRPr="00CA61A9" w:rsidRDefault="00D57353" w:rsidP="00A24069">
            <w:pPr>
              <w:spacing w:before="120"/>
              <w:rPr>
                <w:rFonts w:asciiTheme="minorBidi" w:eastAsiaTheme="minorHAnsi" w:hAnsiTheme="minorBidi" w:cstheme="minorBidi"/>
                <w:color w:val="000000"/>
                <w:sz w:val="18"/>
                <w:szCs w:val="18"/>
              </w:rPr>
            </w:pPr>
          </w:p>
        </w:tc>
        <w:tc>
          <w:tcPr>
            <w:tcW w:w="4098" w:type="dxa"/>
          </w:tcPr>
          <w:p w14:paraId="3A7EFD30"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2.2 Set in place a process for collectively developing with UN-Oceans partners and all relevant stakeholders’ strategic ambitions and targets across the 10 Ocean Decade Challenges and progressively integrate these into the Results Framework for the Ocean </w:t>
            </w:r>
            <w:proofErr w:type="gramStart"/>
            <w:r w:rsidRPr="00CA61A9">
              <w:rPr>
                <w:rFonts w:asciiTheme="minorBidi" w:hAnsiTheme="minorBidi" w:cstheme="minorBidi"/>
                <w:sz w:val="18"/>
                <w:szCs w:val="18"/>
              </w:rPr>
              <w:t>Decade;</w:t>
            </w:r>
            <w:proofErr w:type="gramEnd"/>
            <w:r w:rsidRPr="00CA61A9">
              <w:rPr>
                <w:rFonts w:asciiTheme="minorBidi" w:hAnsiTheme="minorBidi" w:cstheme="minorBidi"/>
                <w:sz w:val="18"/>
                <w:szCs w:val="18"/>
              </w:rPr>
              <w:t xml:space="preserve"> </w:t>
            </w:r>
          </w:p>
        </w:tc>
        <w:tc>
          <w:tcPr>
            <w:tcW w:w="3904" w:type="dxa"/>
          </w:tcPr>
          <w:p w14:paraId="34C3EE22" w14:textId="576ADE31" w:rsidR="00D57353" w:rsidRPr="00CA61A9" w:rsidRDefault="0032090F" w:rsidP="00A24069">
            <w:pPr>
              <w:spacing w:before="120"/>
              <w:rPr>
                <w:rFonts w:asciiTheme="minorBidi" w:hAnsiTheme="minorBidi" w:cstheme="minorBidi"/>
                <w:sz w:val="18"/>
                <w:szCs w:val="18"/>
              </w:rPr>
            </w:pPr>
            <w:r>
              <w:rPr>
                <w:rFonts w:asciiTheme="minorBidi" w:hAnsiTheme="minorBidi" w:cstheme="minorBidi"/>
                <w:sz w:val="18"/>
                <w:szCs w:val="18"/>
              </w:rPr>
              <w:t xml:space="preserve">Mid-term evaluation process recommendations </w:t>
            </w:r>
            <w:r w:rsidR="00EA7134">
              <w:rPr>
                <w:rFonts w:asciiTheme="minorBidi" w:hAnsiTheme="minorBidi" w:cstheme="minorBidi"/>
                <w:sz w:val="18"/>
                <w:szCs w:val="18"/>
              </w:rPr>
              <w:t>on MEL addressing this issue will be implemented</w:t>
            </w:r>
            <w:r w:rsidR="00D70554">
              <w:rPr>
                <w:rFonts w:asciiTheme="minorBidi" w:hAnsiTheme="minorBidi" w:cstheme="minorBidi"/>
                <w:sz w:val="18"/>
                <w:szCs w:val="18"/>
              </w:rPr>
              <w:t xml:space="preserve"> and </w:t>
            </w:r>
            <w:r w:rsidR="006D503D">
              <w:rPr>
                <w:rFonts w:asciiTheme="minorBidi" w:hAnsiTheme="minorBidi" w:cstheme="minorBidi"/>
                <w:sz w:val="18"/>
                <w:szCs w:val="18"/>
              </w:rPr>
              <w:t>reported on to IOC Governing Bodies.</w:t>
            </w:r>
            <w:r w:rsidR="00EA7134">
              <w:rPr>
                <w:rFonts w:asciiTheme="minorBidi" w:hAnsiTheme="minorBidi" w:cstheme="minorBidi"/>
                <w:sz w:val="18"/>
                <w:szCs w:val="18"/>
              </w:rPr>
              <w:t xml:space="preserve"> </w:t>
            </w:r>
            <w:r w:rsidR="00D57353" w:rsidRPr="00CA61A9">
              <w:rPr>
                <w:rFonts w:asciiTheme="minorBidi" w:hAnsiTheme="minorBidi" w:cstheme="minorBidi"/>
                <w:sz w:val="18"/>
                <w:szCs w:val="18"/>
              </w:rPr>
              <w:t xml:space="preserve"> </w:t>
            </w:r>
          </w:p>
        </w:tc>
        <w:tc>
          <w:tcPr>
            <w:tcW w:w="1727" w:type="dxa"/>
          </w:tcPr>
          <w:p w14:paraId="5B93641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and DCU</w:t>
            </w:r>
          </w:p>
        </w:tc>
        <w:tc>
          <w:tcPr>
            <w:tcW w:w="1522" w:type="dxa"/>
          </w:tcPr>
          <w:p w14:paraId="4072D896" w14:textId="74E79534" w:rsidR="00D57353" w:rsidRPr="00CA61A9" w:rsidRDefault="00AC010B" w:rsidP="00A24069">
            <w:pPr>
              <w:spacing w:before="120"/>
              <w:rPr>
                <w:rFonts w:asciiTheme="minorBidi" w:hAnsiTheme="minorBidi" w:cstheme="minorBidi"/>
                <w:sz w:val="18"/>
                <w:szCs w:val="18"/>
              </w:rPr>
            </w:pPr>
            <w:r>
              <w:rPr>
                <w:rFonts w:asciiTheme="minorBidi" w:hAnsiTheme="minorBidi" w:cstheme="minorBidi"/>
                <w:sz w:val="18"/>
                <w:szCs w:val="18"/>
              </w:rPr>
              <w:t>Q</w:t>
            </w:r>
            <w:r w:rsidR="00B5375D">
              <w:rPr>
                <w:rFonts w:asciiTheme="minorBidi" w:hAnsiTheme="minorBidi" w:cstheme="minorBidi"/>
                <w:sz w:val="18"/>
                <w:szCs w:val="18"/>
              </w:rPr>
              <w:t>2</w:t>
            </w:r>
            <w:r>
              <w:rPr>
                <w:rFonts w:asciiTheme="minorBidi" w:hAnsiTheme="minorBidi" w:cstheme="minorBidi"/>
                <w:sz w:val="18"/>
                <w:szCs w:val="18"/>
              </w:rPr>
              <w:t xml:space="preserve"> 2025</w:t>
            </w:r>
            <w:r w:rsidR="00841A74">
              <w:rPr>
                <w:rFonts w:asciiTheme="minorBidi" w:hAnsiTheme="minorBidi" w:cstheme="minorBidi"/>
                <w:sz w:val="18"/>
                <w:szCs w:val="18"/>
              </w:rPr>
              <w:t>, report to EC-59</w:t>
            </w:r>
          </w:p>
        </w:tc>
      </w:tr>
      <w:tr w:rsidR="00D57353" w:rsidRPr="00CA61A9" w14:paraId="4002AE40" w14:textId="77777777" w:rsidTr="00D57353">
        <w:tc>
          <w:tcPr>
            <w:tcW w:w="3025" w:type="dxa"/>
            <w:vMerge/>
          </w:tcPr>
          <w:p w14:paraId="40725168" w14:textId="77777777" w:rsidR="00D57353" w:rsidRPr="00CA61A9" w:rsidRDefault="00D57353" w:rsidP="00A24069">
            <w:pPr>
              <w:spacing w:before="120"/>
              <w:rPr>
                <w:rFonts w:asciiTheme="minorBidi" w:eastAsiaTheme="minorHAnsi" w:hAnsiTheme="minorBidi" w:cstheme="minorBidi"/>
                <w:color w:val="000000"/>
                <w:sz w:val="18"/>
                <w:szCs w:val="18"/>
              </w:rPr>
            </w:pPr>
          </w:p>
        </w:tc>
        <w:tc>
          <w:tcPr>
            <w:tcW w:w="4098" w:type="dxa"/>
          </w:tcPr>
          <w:p w14:paraId="7CA9D067"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2.3 Operationalise the review mechanisms envisaged in the Implementation Plan for the Ocean Decade, including the series of international and regional Ocean Decade Conferences every three years which will provide the platform for stocktaking and adaptive management of Decade priorities. </w:t>
            </w:r>
          </w:p>
        </w:tc>
        <w:tc>
          <w:tcPr>
            <w:tcW w:w="3904" w:type="dxa"/>
          </w:tcPr>
          <w:p w14:paraId="19AD0684"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Achieved. 2024 Ocean Decade Conference confirmed for April 2024 to be hosted by Spain. Monitoring &amp; Evaluation Framework rollout completed. Vision 2030 process operationalized. </w:t>
            </w:r>
          </w:p>
        </w:tc>
        <w:tc>
          <w:tcPr>
            <w:tcW w:w="1727" w:type="dxa"/>
          </w:tcPr>
          <w:p w14:paraId="1DDFBC9D"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and DCU</w:t>
            </w:r>
          </w:p>
        </w:tc>
        <w:tc>
          <w:tcPr>
            <w:tcW w:w="1522" w:type="dxa"/>
          </w:tcPr>
          <w:p w14:paraId="2B539187" w14:textId="33663CC7" w:rsidR="00D57353" w:rsidRPr="00CA61A9" w:rsidRDefault="00D57353" w:rsidP="00A24069">
            <w:pPr>
              <w:spacing w:before="120"/>
              <w:rPr>
                <w:rFonts w:asciiTheme="minorBidi" w:hAnsiTheme="minorBidi" w:cstheme="minorBidi"/>
                <w:sz w:val="18"/>
                <w:szCs w:val="18"/>
              </w:rPr>
            </w:pPr>
            <w:r w:rsidRPr="004E758C">
              <w:rPr>
                <w:rFonts w:asciiTheme="minorBidi" w:hAnsiTheme="minorBidi" w:cstheme="minorBidi"/>
                <w:b/>
                <w:bCs/>
                <w:sz w:val="18"/>
                <w:szCs w:val="18"/>
              </w:rPr>
              <w:t>Completed</w:t>
            </w:r>
          </w:p>
        </w:tc>
      </w:tr>
      <w:tr w:rsidR="00D57353" w:rsidRPr="00CA61A9" w14:paraId="6FD7EB78" w14:textId="77777777" w:rsidTr="00D57353">
        <w:tc>
          <w:tcPr>
            <w:tcW w:w="3025" w:type="dxa"/>
            <w:vMerge w:val="restart"/>
          </w:tcPr>
          <w:p w14:paraId="41E3AEA8" w14:textId="77777777" w:rsidR="00D57353" w:rsidRPr="00CA61A9" w:rsidRDefault="00D57353" w:rsidP="00A24069">
            <w:pPr>
              <w:spacing w:before="120"/>
              <w:rPr>
                <w:rFonts w:asciiTheme="minorBidi" w:hAnsiTheme="minorBidi" w:cstheme="minorBidi"/>
                <w:iCs/>
                <w:sz w:val="18"/>
                <w:szCs w:val="18"/>
              </w:rPr>
            </w:pPr>
            <w:r w:rsidRPr="00CA61A9">
              <w:rPr>
                <w:rFonts w:asciiTheme="minorBidi" w:hAnsiTheme="minorBidi" w:cstheme="minorBidi"/>
                <w:b/>
                <w:bCs/>
                <w:iCs/>
                <w:sz w:val="18"/>
                <w:szCs w:val="18"/>
              </w:rPr>
              <w:lastRenderedPageBreak/>
              <w:t>Recommendation 3</w:t>
            </w:r>
            <w:r w:rsidRPr="00CA61A9">
              <w:rPr>
                <w:rFonts w:asciiTheme="minorBidi" w:hAnsiTheme="minorBidi" w:cstheme="minorBidi"/>
                <w:iCs/>
                <w:sz w:val="18"/>
                <w:szCs w:val="18"/>
              </w:rPr>
              <w:t>:</w:t>
            </w:r>
          </w:p>
          <w:p w14:paraId="133A1B88" w14:textId="79DD15B1" w:rsidR="00D57353" w:rsidRPr="00DA5273" w:rsidRDefault="00D57353" w:rsidP="00DA5273">
            <w:pPr>
              <w:spacing w:before="120"/>
              <w:rPr>
                <w:rFonts w:asciiTheme="minorBidi" w:hAnsiTheme="minorBidi" w:cstheme="minorBidi"/>
                <w:sz w:val="18"/>
                <w:szCs w:val="18"/>
              </w:rPr>
            </w:pPr>
            <w:r w:rsidRPr="00CA61A9">
              <w:rPr>
                <w:rFonts w:asciiTheme="minorBidi" w:hAnsiTheme="minorBidi" w:cstheme="minorBidi"/>
                <w:color w:val="000000" w:themeColor="text1"/>
                <w:sz w:val="18"/>
                <w:szCs w:val="18"/>
              </w:rPr>
              <w:t>By June 2022 – Determine how UNESCO can support the Decade</w:t>
            </w:r>
          </w:p>
        </w:tc>
        <w:tc>
          <w:tcPr>
            <w:tcW w:w="4098" w:type="dxa"/>
          </w:tcPr>
          <w:p w14:paraId="373EF1BF" w14:textId="77777777" w:rsidR="00D57353" w:rsidRPr="00CA61A9" w:rsidRDefault="00D57353" w:rsidP="00A24069">
            <w:pPr>
              <w:spacing w:before="120"/>
              <w:rPr>
                <w:rFonts w:asciiTheme="minorBidi" w:hAnsiTheme="minorBidi" w:cstheme="minorBidi"/>
                <w:sz w:val="18"/>
                <w:szCs w:val="18"/>
              </w:rPr>
            </w:pPr>
            <w:r w:rsidRPr="00841A74">
              <w:rPr>
                <w:rFonts w:asciiTheme="minorBidi" w:hAnsiTheme="minorBidi" w:cstheme="minorBidi"/>
                <w:sz w:val="18"/>
                <w:szCs w:val="18"/>
              </w:rPr>
              <w:t>3.1 Develop clear, targeted messaging to different donor groups on the benefits and means of investing in the Ocean Decade.</w:t>
            </w:r>
          </w:p>
        </w:tc>
        <w:tc>
          <w:tcPr>
            <w:tcW w:w="3904" w:type="dxa"/>
          </w:tcPr>
          <w:p w14:paraId="04CCEEDA" w14:textId="18C8CE42" w:rsidR="00D57353" w:rsidRPr="004D4EF2" w:rsidRDefault="00C656D0"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The Ocean Decade mid-term evaluation process presented to the</w:t>
            </w:r>
            <w:r w:rsidR="00963524" w:rsidRPr="004D4EF2">
              <w:rPr>
                <w:rFonts w:asciiTheme="minorBidi" w:hAnsiTheme="minorBidi" w:cstheme="minorBidi"/>
                <w:b/>
                <w:bCs/>
                <w:sz w:val="18"/>
                <w:szCs w:val="18"/>
              </w:rPr>
              <w:t xml:space="preserve"> 33</w:t>
            </w:r>
            <w:r w:rsidR="00963524" w:rsidRPr="004D4EF2">
              <w:rPr>
                <w:rFonts w:asciiTheme="minorBidi" w:hAnsiTheme="minorBidi" w:cstheme="minorBidi"/>
                <w:b/>
                <w:bCs/>
                <w:sz w:val="18"/>
                <w:szCs w:val="18"/>
                <w:vertAlign w:val="superscript"/>
              </w:rPr>
              <w:t>rd</w:t>
            </w:r>
            <w:r w:rsidR="00963524" w:rsidRPr="004D4EF2">
              <w:rPr>
                <w:rFonts w:asciiTheme="minorBidi" w:hAnsiTheme="minorBidi" w:cstheme="minorBidi"/>
                <w:b/>
                <w:bCs/>
                <w:sz w:val="18"/>
                <w:szCs w:val="18"/>
              </w:rPr>
              <w:t xml:space="preserve"> session of the </w:t>
            </w:r>
            <w:r w:rsidRPr="004D4EF2">
              <w:rPr>
                <w:rFonts w:asciiTheme="minorBidi" w:hAnsiTheme="minorBidi" w:cstheme="minorBidi"/>
                <w:b/>
                <w:bCs/>
                <w:sz w:val="18"/>
                <w:szCs w:val="18"/>
              </w:rPr>
              <w:t xml:space="preserve"> IOC Assembly </w:t>
            </w:r>
            <w:r w:rsidR="00963524" w:rsidRPr="004D4EF2">
              <w:rPr>
                <w:rFonts w:asciiTheme="minorBidi" w:hAnsiTheme="minorBidi" w:cstheme="minorBidi"/>
                <w:b/>
                <w:bCs/>
                <w:sz w:val="18"/>
                <w:szCs w:val="18"/>
              </w:rPr>
              <w:t xml:space="preserve">with </w:t>
            </w:r>
            <w:r w:rsidR="00377C12" w:rsidRPr="004D4EF2">
              <w:rPr>
                <w:rFonts w:asciiTheme="minorBidi" w:hAnsiTheme="minorBidi" w:cstheme="minorBidi"/>
                <w:b/>
                <w:bCs/>
                <w:sz w:val="18"/>
                <w:szCs w:val="18"/>
              </w:rPr>
              <w:t>additional specific recommendations on donor engagement.</w:t>
            </w:r>
            <w:r w:rsidRPr="004D4EF2">
              <w:rPr>
                <w:rFonts w:asciiTheme="minorBidi" w:hAnsiTheme="minorBidi" w:cstheme="minorBidi"/>
                <w:b/>
                <w:bCs/>
                <w:sz w:val="18"/>
                <w:szCs w:val="18"/>
              </w:rPr>
              <w:t xml:space="preserve"> </w:t>
            </w:r>
            <w:r w:rsidR="00D57353" w:rsidRPr="004D4EF2">
              <w:rPr>
                <w:rFonts w:asciiTheme="minorBidi" w:hAnsiTheme="minorBidi" w:cstheme="minorBidi"/>
                <w:b/>
                <w:bCs/>
                <w:sz w:val="18"/>
                <w:szCs w:val="18"/>
              </w:rPr>
              <w:t xml:space="preserve"> </w:t>
            </w:r>
            <w:r w:rsidR="00963524" w:rsidRPr="004D4EF2">
              <w:rPr>
                <w:rFonts w:asciiTheme="minorBidi" w:hAnsiTheme="minorBidi" w:cstheme="minorBidi"/>
                <w:b/>
                <w:bCs/>
                <w:sz w:val="18"/>
                <w:szCs w:val="18"/>
              </w:rPr>
              <w:t xml:space="preserve">Progress will be reported to </w:t>
            </w:r>
            <w:r w:rsidR="00841A74" w:rsidRPr="004D4EF2">
              <w:rPr>
                <w:rFonts w:asciiTheme="minorBidi" w:hAnsiTheme="minorBidi" w:cstheme="minorBidi"/>
                <w:b/>
                <w:bCs/>
                <w:sz w:val="18"/>
                <w:szCs w:val="18"/>
              </w:rPr>
              <w:t>Governing</w:t>
            </w:r>
            <w:r w:rsidR="00963524" w:rsidRPr="004D4EF2">
              <w:rPr>
                <w:rFonts w:asciiTheme="minorBidi" w:hAnsiTheme="minorBidi" w:cstheme="minorBidi"/>
                <w:b/>
                <w:bCs/>
                <w:sz w:val="18"/>
                <w:szCs w:val="18"/>
              </w:rPr>
              <w:t xml:space="preserve"> Bodies throughout </w:t>
            </w:r>
            <w:r w:rsidR="00670BB3" w:rsidRPr="004D4EF2">
              <w:rPr>
                <w:rFonts w:asciiTheme="minorBidi" w:hAnsiTheme="minorBidi" w:cstheme="minorBidi"/>
                <w:b/>
                <w:bCs/>
                <w:sz w:val="18"/>
                <w:szCs w:val="18"/>
              </w:rPr>
              <w:t>the Decade.</w:t>
            </w:r>
          </w:p>
        </w:tc>
        <w:tc>
          <w:tcPr>
            <w:tcW w:w="1727" w:type="dxa"/>
          </w:tcPr>
          <w:p w14:paraId="44F3D91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DCU in consultation with the IOC Management Team</w:t>
            </w:r>
          </w:p>
        </w:tc>
        <w:tc>
          <w:tcPr>
            <w:tcW w:w="1522" w:type="dxa"/>
          </w:tcPr>
          <w:p w14:paraId="59DC3486" w14:textId="147A8299" w:rsidR="00D57353" w:rsidRPr="00841A74" w:rsidRDefault="00963524" w:rsidP="00A24069">
            <w:pPr>
              <w:spacing w:before="120"/>
              <w:rPr>
                <w:rFonts w:asciiTheme="minorBidi" w:hAnsiTheme="minorBidi" w:cstheme="minorBidi"/>
                <w:b/>
                <w:bCs/>
                <w:sz w:val="18"/>
                <w:szCs w:val="18"/>
              </w:rPr>
            </w:pPr>
            <w:r w:rsidRPr="00841A74">
              <w:rPr>
                <w:rFonts w:asciiTheme="minorBidi" w:hAnsiTheme="minorBidi" w:cstheme="minorBidi"/>
                <w:b/>
                <w:bCs/>
                <w:sz w:val="18"/>
                <w:szCs w:val="18"/>
              </w:rPr>
              <w:t>Completed</w:t>
            </w:r>
          </w:p>
        </w:tc>
      </w:tr>
      <w:tr w:rsidR="00D57353" w:rsidRPr="00CA61A9" w14:paraId="6EAA7209" w14:textId="77777777" w:rsidTr="00D57353">
        <w:tc>
          <w:tcPr>
            <w:tcW w:w="3025" w:type="dxa"/>
            <w:vMerge/>
          </w:tcPr>
          <w:p w14:paraId="49713EEC" w14:textId="77777777" w:rsidR="00D57353" w:rsidRPr="00CA61A9" w:rsidRDefault="00D57353" w:rsidP="00A24069">
            <w:pPr>
              <w:spacing w:before="120"/>
              <w:rPr>
                <w:rFonts w:asciiTheme="minorBidi" w:hAnsiTheme="minorBidi" w:cstheme="minorBidi"/>
                <w:sz w:val="18"/>
                <w:szCs w:val="18"/>
              </w:rPr>
            </w:pPr>
          </w:p>
        </w:tc>
        <w:tc>
          <w:tcPr>
            <w:tcW w:w="4098" w:type="dxa"/>
          </w:tcPr>
          <w:p w14:paraId="1887C5F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3.2 Further assess resource needs for IOC programmes and structures to support effectively the implementation of the Decade (beyond the Decade Coordination functions assumed by the Decade Coordination Unit (DCU));</w:t>
            </w:r>
          </w:p>
        </w:tc>
        <w:tc>
          <w:tcPr>
            <w:tcW w:w="3904" w:type="dxa"/>
          </w:tcPr>
          <w:p w14:paraId="2BC27397" w14:textId="749CC70C"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Budget and resource needs estimates prepared and maintained </w:t>
            </w:r>
            <w:proofErr w:type="gramStart"/>
            <w:r w:rsidRPr="00CA61A9">
              <w:rPr>
                <w:rFonts w:asciiTheme="minorBidi" w:hAnsiTheme="minorBidi" w:cstheme="minorBidi"/>
                <w:sz w:val="18"/>
                <w:szCs w:val="18"/>
              </w:rPr>
              <w:t>up-to-date</w:t>
            </w:r>
            <w:proofErr w:type="gramEnd"/>
            <w:r w:rsidRPr="00CA61A9">
              <w:rPr>
                <w:rFonts w:asciiTheme="minorBidi" w:hAnsiTheme="minorBidi" w:cstheme="minorBidi"/>
                <w:sz w:val="18"/>
                <w:szCs w:val="18"/>
              </w:rPr>
              <w:t xml:space="preserve"> for Decade Coordination Offices hosted by IOC including data sharing, ocean observations, Ocean Literacy, Africa and Tropical Americas and Caribbean region. Active resource mobilisation to support these structures. </w:t>
            </w:r>
            <w:r w:rsidR="00E951D0" w:rsidRPr="004D4EF2">
              <w:rPr>
                <w:rFonts w:asciiTheme="minorBidi" w:hAnsiTheme="minorBidi" w:cstheme="minorBidi"/>
                <w:b/>
                <w:bCs/>
                <w:sz w:val="18"/>
                <w:szCs w:val="18"/>
              </w:rPr>
              <w:t>Progress to be reported to IOC Governing Bodies</w:t>
            </w:r>
          </w:p>
        </w:tc>
        <w:tc>
          <w:tcPr>
            <w:tcW w:w="1727" w:type="dxa"/>
          </w:tcPr>
          <w:p w14:paraId="5DD9400B"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in consultation with the IOC Management Team</w:t>
            </w:r>
          </w:p>
        </w:tc>
        <w:tc>
          <w:tcPr>
            <w:tcW w:w="1522" w:type="dxa"/>
          </w:tcPr>
          <w:p w14:paraId="727ADE2E" w14:textId="7BAC1A51" w:rsidR="00D57353" w:rsidRPr="00E951D0" w:rsidRDefault="00E951D0" w:rsidP="00A24069">
            <w:pPr>
              <w:spacing w:before="120"/>
              <w:rPr>
                <w:rFonts w:asciiTheme="minorBidi" w:hAnsiTheme="minorBidi" w:cstheme="minorBidi"/>
                <w:b/>
                <w:bCs/>
                <w:sz w:val="18"/>
                <w:szCs w:val="18"/>
              </w:rPr>
            </w:pPr>
            <w:r w:rsidRPr="00E951D0">
              <w:rPr>
                <w:rFonts w:asciiTheme="minorBidi" w:hAnsiTheme="minorBidi" w:cstheme="minorBidi"/>
                <w:b/>
                <w:bCs/>
                <w:sz w:val="18"/>
                <w:szCs w:val="18"/>
              </w:rPr>
              <w:t>Completed</w:t>
            </w:r>
          </w:p>
        </w:tc>
      </w:tr>
      <w:tr w:rsidR="00D57353" w:rsidRPr="00CA61A9" w14:paraId="5F08A017" w14:textId="77777777" w:rsidTr="00D57353">
        <w:tc>
          <w:tcPr>
            <w:tcW w:w="3025" w:type="dxa"/>
            <w:vMerge/>
          </w:tcPr>
          <w:p w14:paraId="1BE5AFB1" w14:textId="77777777" w:rsidR="00D57353" w:rsidRPr="00CA61A9" w:rsidRDefault="00D57353" w:rsidP="00A24069">
            <w:pPr>
              <w:spacing w:before="120"/>
              <w:rPr>
                <w:rFonts w:asciiTheme="minorBidi" w:hAnsiTheme="minorBidi" w:cstheme="minorBidi"/>
                <w:sz w:val="18"/>
                <w:szCs w:val="18"/>
              </w:rPr>
            </w:pPr>
          </w:p>
        </w:tc>
        <w:tc>
          <w:tcPr>
            <w:tcW w:w="4098" w:type="dxa"/>
          </w:tcPr>
          <w:p w14:paraId="5591ECD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3.3 Building on decision 29 of the 214th UNESCO Executive Board work with other UNESCO sectors to make the Ocean a transversal priority theme and position the Ocean Decade as the primary vehicle through which Member States can support it.</w:t>
            </w:r>
          </w:p>
        </w:tc>
        <w:tc>
          <w:tcPr>
            <w:tcW w:w="3904" w:type="dxa"/>
          </w:tcPr>
          <w:p w14:paraId="5A38089D" w14:textId="653E8A21"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Achieved. The first report on the highlights of intersectoral cooperation under the framework of the Ocean Decade, was presented to the UNESCO Executive Board as document 217 EX/</w:t>
            </w:r>
            <w:proofErr w:type="gramStart"/>
            <w:r w:rsidRPr="00CA61A9">
              <w:rPr>
                <w:rFonts w:asciiTheme="minorBidi" w:hAnsiTheme="minorBidi" w:cstheme="minorBidi"/>
                <w:sz w:val="18"/>
                <w:szCs w:val="18"/>
              </w:rPr>
              <w:t>4.I.B.</w:t>
            </w:r>
            <w:proofErr w:type="gramEnd"/>
            <w:r w:rsidRPr="00CA61A9">
              <w:rPr>
                <w:rFonts w:asciiTheme="minorBidi" w:hAnsiTheme="minorBidi" w:cstheme="minorBidi"/>
                <w:sz w:val="18"/>
                <w:szCs w:val="18"/>
              </w:rPr>
              <w:t xml:space="preserve"> </w:t>
            </w:r>
            <w:r w:rsidR="00506826" w:rsidRPr="004D4EF2">
              <w:rPr>
                <w:rFonts w:asciiTheme="minorBidi" w:hAnsiTheme="minorBidi" w:cstheme="minorBidi"/>
                <w:b/>
                <w:bCs/>
                <w:sz w:val="18"/>
                <w:szCs w:val="18"/>
              </w:rPr>
              <w:t xml:space="preserve">To be repeated biannually and </w:t>
            </w:r>
            <w:r w:rsidR="00A82B4B" w:rsidRPr="004D4EF2">
              <w:rPr>
                <w:rFonts w:asciiTheme="minorBidi" w:hAnsiTheme="minorBidi" w:cstheme="minorBidi"/>
                <w:b/>
                <w:bCs/>
                <w:sz w:val="18"/>
                <w:szCs w:val="18"/>
              </w:rPr>
              <w:t xml:space="preserve">referenced for IOC Governing Bodies under the statutory </w:t>
            </w:r>
            <w:proofErr w:type="gramStart"/>
            <w:r w:rsidR="00A82B4B" w:rsidRPr="004D4EF2">
              <w:rPr>
                <w:rFonts w:asciiTheme="minorBidi" w:hAnsiTheme="minorBidi" w:cstheme="minorBidi"/>
                <w:b/>
                <w:bCs/>
                <w:sz w:val="18"/>
                <w:szCs w:val="18"/>
              </w:rPr>
              <w:t>reports</w:t>
            </w:r>
            <w:proofErr w:type="gramEnd"/>
            <w:r w:rsidR="00A82B4B" w:rsidRPr="004D4EF2">
              <w:rPr>
                <w:rFonts w:asciiTheme="minorBidi" w:hAnsiTheme="minorBidi" w:cstheme="minorBidi"/>
                <w:b/>
                <w:bCs/>
                <w:sz w:val="18"/>
                <w:szCs w:val="18"/>
              </w:rPr>
              <w:t xml:space="preserve"> agenda items</w:t>
            </w:r>
            <w:r w:rsidR="00E404BC">
              <w:rPr>
                <w:rFonts w:asciiTheme="minorBidi" w:hAnsiTheme="minorBidi" w:cstheme="minorBidi"/>
                <w:b/>
                <w:bCs/>
                <w:sz w:val="18"/>
                <w:szCs w:val="18"/>
              </w:rPr>
              <w:t>.</w:t>
            </w:r>
          </w:p>
        </w:tc>
        <w:tc>
          <w:tcPr>
            <w:tcW w:w="1727" w:type="dxa"/>
          </w:tcPr>
          <w:p w14:paraId="32AF495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ES and DCU</w:t>
            </w:r>
          </w:p>
        </w:tc>
        <w:tc>
          <w:tcPr>
            <w:tcW w:w="1522" w:type="dxa"/>
          </w:tcPr>
          <w:p w14:paraId="099CCA46" w14:textId="20EA124C" w:rsidR="00D57353" w:rsidRPr="009837F7" w:rsidRDefault="00D57353" w:rsidP="00A24069">
            <w:pPr>
              <w:spacing w:before="120"/>
              <w:rPr>
                <w:rFonts w:asciiTheme="minorBidi" w:hAnsiTheme="minorBidi" w:cstheme="minorBidi"/>
                <w:b/>
                <w:bCs/>
                <w:sz w:val="18"/>
                <w:szCs w:val="18"/>
              </w:rPr>
            </w:pPr>
            <w:r w:rsidRPr="009837F7">
              <w:rPr>
                <w:rFonts w:asciiTheme="minorBidi" w:hAnsiTheme="minorBidi" w:cstheme="minorBidi"/>
                <w:b/>
                <w:bCs/>
                <w:sz w:val="18"/>
                <w:szCs w:val="18"/>
              </w:rPr>
              <w:t>Completed</w:t>
            </w:r>
          </w:p>
        </w:tc>
      </w:tr>
      <w:tr w:rsidR="00D57353" w:rsidRPr="00CA61A9" w14:paraId="01C0B4E8" w14:textId="77777777" w:rsidTr="00D57353">
        <w:tc>
          <w:tcPr>
            <w:tcW w:w="3025" w:type="dxa"/>
            <w:vMerge/>
          </w:tcPr>
          <w:p w14:paraId="68F28931" w14:textId="77777777" w:rsidR="00D57353" w:rsidRPr="00CA61A9" w:rsidRDefault="00D57353" w:rsidP="00A24069">
            <w:pPr>
              <w:spacing w:before="120"/>
              <w:rPr>
                <w:rFonts w:asciiTheme="minorBidi" w:hAnsiTheme="minorBidi" w:cstheme="minorBidi"/>
                <w:sz w:val="18"/>
                <w:szCs w:val="18"/>
              </w:rPr>
            </w:pPr>
          </w:p>
        </w:tc>
        <w:tc>
          <w:tcPr>
            <w:tcW w:w="4098" w:type="dxa"/>
          </w:tcPr>
          <w:p w14:paraId="3B85F9CA" w14:textId="77777777" w:rsidR="00D57353" w:rsidRPr="00CA61A9" w:rsidRDefault="00D57353" w:rsidP="00A24069">
            <w:pPr>
              <w:spacing w:before="120"/>
              <w:rPr>
                <w:rFonts w:asciiTheme="minorBidi" w:hAnsiTheme="minorBidi" w:cstheme="minorBidi"/>
                <w:i/>
                <w:iCs/>
                <w:sz w:val="18"/>
                <w:szCs w:val="18"/>
                <w:u w:val="single"/>
              </w:rPr>
            </w:pPr>
            <w:r w:rsidRPr="00CA61A9">
              <w:rPr>
                <w:rFonts w:asciiTheme="minorBidi" w:hAnsiTheme="minorBidi" w:cstheme="minorBidi"/>
                <w:i/>
                <w:iCs/>
                <w:sz w:val="18"/>
                <w:szCs w:val="18"/>
                <w:u w:val="single"/>
              </w:rPr>
              <w:t>UN-wide supporting actions:</w:t>
            </w:r>
          </w:p>
          <w:p w14:paraId="1DCC7DD2"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3.4. Develop a clear and structured ‘ask’ for financial or in-kind resources for partners’ support to the DCU; </w:t>
            </w:r>
          </w:p>
        </w:tc>
        <w:tc>
          <w:tcPr>
            <w:tcW w:w="3904" w:type="dxa"/>
          </w:tcPr>
          <w:p w14:paraId="4903A70C" w14:textId="74C1E580" w:rsidR="00D57353" w:rsidRPr="004D4EF2" w:rsidRDefault="00EF08C8"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DCU budget needs estimates prepared and maintained up to date. </w:t>
            </w:r>
          </w:p>
        </w:tc>
        <w:tc>
          <w:tcPr>
            <w:tcW w:w="1727" w:type="dxa"/>
          </w:tcPr>
          <w:p w14:paraId="2C2C5552"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DCU</w:t>
            </w:r>
          </w:p>
        </w:tc>
        <w:tc>
          <w:tcPr>
            <w:tcW w:w="1522" w:type="dxa"/>
          </w:tcPr>
          <w:p w14:paraId="3BD1FC16" w14:textId="38774A38" w:rsidR="00D57353" w:rsidRPr="00C450BC" w:rsidRDefault="00C450BC" w:rsidP="00A24069">
            <w:pPr>
              <w:spacing w:before="120"/>
              <w:rPr>
                <w:rFonts w:asciiTheme="minorBidi" w:hAnsiTheme="minorBidi" w:cstheme="minorBidi"/>
                <w:b/>
                <w:bCs/>
                <w:sz w:val="18"/>
                <w:szCs w:val="18"/>
              </w:rPr>
            </w:pPr>
            <w:r w:rsidRPr="00C450BC">
              <w:rPr>
                <w:rFonts w:asciiTheme="minorBidi" w:hAnsiTheme="minorBidi" w:cstheme="minorBidi"/>
                <w:b/>
                <w:bCs/>
                <w:sz w:val="18"/>
                <w:szCs w:val="18"/>
              </w:rPr>
              <w:t>Completed</w:t>
            </w:r>
          </w:p>
        </w:tc>
      </w:tr>
      <w:tr w:rsidR="00D57353" w:rsidRPr="00CA61A9" w14:paraId="32A44A80" w14:textId="77777777" w:rsidTr="00D57353">
        <w:tc>
          <w:tcPr>
            <w:tcW w:w="3025" w:type="dxa"/>
            <w:vMerge/>
          </w:tcPr>
          <w:p w14:paraId="58E8E4BF" w14:textId="77777777" w:rsidR="00D57353" w:rsidRPr="00CA61A9" w:rsidRDefault="00D57353" w:rsidP="00A24069">
            <w:pPr>
              <w:spacing w:before="120"/>
              <w:rPr>
                <w:rFonts w:asciiTheme="minorBidi" w:hAnsiTheme="minorBidi" w:cstheme="minorBidi"/>
                <w:sz w:val="18"/>
                <w:szCs w:val="18"/>
              </w:rPr>
            </w:pPr>
          </w:p>
        </w:tc>
        <w:tc>
          <w:tcPr>
            <w:tcW w:w="4098" w:type="dxa"/>
          </w:tcPr>
          <w:p w14:paraId="799C63A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3.5. Undertake a detailed mapping and analysis of the activities and interests of UN-Oceans partners to identify existing or potential Decade-related initiatives, identify gaps and make recommendations for stronger engagement and resource provision;</w:t>
            </w:r>
          </w:p>
        </w:tc>
        <w:tc>
          <w:tcPr>
            <w:tcW w:w="3904" w:type="dxa"/>
          </w:tcPr>
          <w:p w14:paraId="7FA70C13" w14:textId="5F939C4C" w:rsidR="00D57353" w:rsidRPr="004D4EF2" w:rsidRDefault="00DF484B"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The results of the mid-term evaluation process </w:t>
            </w:r>
            <w:r w:rsidR="00B04D13" w:rsidRPr="004D4EF2">
              <w:rPr>
                <w:rFonts w:asciiTheme="minorBidi" w:hAnsiTheme="minorBidi" w:cstheme="minorBidi"/>
                <w:b/>
                <w:bCs/>
                <w:sz w:val="18"/>
                <w:szCs w:val="18"/>
              </w:rPr>
              <w:t xml:space="preserve">include specific recommendations related to engagement of UN agencies. </w:t>
            </w:r>
            <w:r w:rsidR="006B1527" w:rsidRPr="004D4EF2">
              <w:rPr>
                <w:rFonts w:asciiTheme="minorBidi" w:hAnsiTheme="minorBidi" w:cstheme="minorBidi"/>
                <w:b/>
                <w:bCs/>
                <w:sz w:val="18"/>
                <w:szCs w:val="18"/>
              </w:rPr>
              <w:t>Progre</w:t>
            </w:r>
            <w:r w:rsidR="00001C51" w:rsidRPr="004D4EF2">
              <w:rPr>
                <w:rFonts w:asciiTheme="minorBidi" w:hAnsiTheme="minorBidi" w:cstheme="minorBidi"/>
                <w:b/>
                <w:bCs/>
                <w:sz w:val="18"/>
                <w:szCs w:val="18"/>
              </w:rPr>
              <w:t>ss to be reported to IOC Governing Bodies.</w:t>
            </w:r>
          </w:p>
        </w:tc>
        <w:tc>
          <w:tcPr>
            <w:tcW w:w="1727" w:type="dxa"/>
          </w:tcPr>
          <w:p w14:paraId="46872705"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DCU </w:t>
            </w:r>
          </w:p>
        </w:tc>
        <w:tc>
          <w:tcPr>
            <w:tcW w:w="1522" w:type="dxa"/>
          </w:tcPr>
          <w:p w14:paraId="49F0B6DE" w14:textId="3AD1B41E" w:rsidR="00D57353" w:rsidRPr="006B1527" w:rsidRDefault="006B1527" w:rsidP="00A24069">
            <w:pPr>
              <w:spacing w:before="120"/>
              <w:rPr>
                <w:rFonts w:asciiTheme="minorBidi" w:hAnsiTheme="minorBidi" w:cstheme="minorBidi"/>
                <w:b/>
                <w:bCs/>
                <w:sz w:val="18"/>
                <w:szCs w:val="18"/>
              </w:rPr>
            </w:pPr>
            <w:r w:rsidRPr="006B1527">
              <w:rPr>
                <w:rFonts w:asciiTheme="minorBidi" w:hAnsiTheme="minorBidi" w:cstheme="minorBidi"/>
                <w:b/>
                <w:bCs/>
                <w:sz w:val="18"/>
                <w:szCs w:val="18"/>
              </w:rPr>
              <w:t>Completed</w:t>
            </w:r>
          </w:p>
        </w:tc>
      </w:tr>
      <w:tr w:rsidR="00D57353" w:rsidRPr="00CA61A9" w14:paraId="6E624739" w14:textId="77777777" w:rsidTr="00D57353">
        <w:tc>
          <w:tcPr>
            <w:tcW w:w="3025" w:type="dxa"/>
            <w:vMerge/>
          </w:tcPr>
          <w:p w14:paraId="63CAE0E5" w14:textId="77777777" w:rsidR="00D57353" w:rsidRPr="00CA61A9" w:rsidRDefault="00D57353" w:rsidP="00A24069">
            <w:pPr>
              <w:spacing w:before="120"/>
              <w:rPr>
                <w:rFonts w:asciiTheme="minorBidi" w:hAnsiTheme="minorBidi" w:cstheme="minorBidi"/>
                <w:sz w:val="18"/>
                <w:szCs w:val="18"/>
              </w:rPr>
            </w:pPr>
          </w:p>
        </w:tc>
        <w:tc>
          <w:tcPr>
            <w:tcW w:w="4098" w:type="dxa"/>
          </w:tcPr>
          <w:p w14:paraId="7922AD92"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3.6. Encourage UN partners to establish and resource Decade Coordination Offices to lead coordination around regional or thematic priorities</w:t>
            </w:r>
          </w:p>
        </w:tc>
        <w:tc>
          <w:tcPr>
            <w:tcW w:w="3904" w:type="dxa"/>
          </w:tcPr>
          <w:p w14:paraId="4269A7F6" w14:textId="60546493"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Ongoing. Call for Decade Actions No. 07/2024 includes solicitation for DCOs and DCCs to fill critical thematic and geographic gaps. </w:t>
            </w:r>
            <w:r w:rsidR="00D22ED4" w:rsidRPr="004D4EF2">
              <w:rPr>
                <w:rFonts w:asciiTheme="minorBidi" w:hAnsiTheme="minorBidi" w:cstheme="minorBidi"/>
                <w:b/>
                <w:bCs/>
                <w:sz w:val="18"/>
                <w:szCs w:val="18"/>
              </w:rPr>
              <w:t xml:space="preserve">Work will continue throughout the Decade, building on the recommendations </w:t>
            </w:r>
            <w:r w:rsidR="00D22ED4" w:rsidRPr="004D4EF2">
              <w:rPr>
                <w:rFonts w:asciiTheme="minorBidi" w:hAnsiTheme="minorBidi" w:cstheme="minorBidi"/>
                <w:b/>
                <w:bCs/>
                <w:sz w:val="18"/>
                <w:szCs w:val="18"/>
              </w:rPr>
              <w:lastRenderedPageBreak/>
              <w:t>of the mid-term evaluation and with progress reports to IOC Governing Bodies</w:t>
            </w:r>
          </w:p>
        </w:tc>
        <w:tc>
          <w:tcPr>
            <w:tcW w:w="1727" w:type="dxa"/>
          </w:tcPr>
          <w:p w14:paraId="6A5D4DD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lastRenderedPageBreak/>
              <w:t>DCU</w:t>
            </w:r>
          </w:p>
        </w:tc>
        <w:tc>
          <w:tcPr>
            <w:tcW w:w="1522" w:type="dxa"/>
          </w:tcPr>
          <w:p w14:paraId="187F801B" w14:textId="51AE5DB5" w:rsidR="00D57353" w:rsidRPr="00D22ED4" w:rsidRDefault="00F656EC" w:rsidP="00A24069">
            <w:pPr>
              <w:spacing w:before="120"/>
              <w:rPr>
                <w:rFonts w:asciiTheme="minorBidi" w:hAnsiTheme="minorBidi" w:cstheme="minorBidi"/>
                <w:b/>
                <w:bCs/>
                <w:sz w:val="18"/>
                <w:szCs w:val="18"/>
              </w:rPr>
            </w:pPr>
            <w:r w:rsidRPr="00D22ED4">
              <w:rPr>
                <w:rFonts w:asciiTheme="minorBidi" w:hAnsiTheme="minorBidi" w:cstheme="minorBidi"/>
                <w:b/>
                <w:bCs/>
                <w:sz w:val="18"/>
                <w:szCs w:val="18"/>
              </w:rPr>
              <w:t>Completed</w:t>
            </w:r>
          </w:p>
        </w:tc>
      </w:tr>
      <w:tr w:rsidR="00D57353" w:rsidRPr="00CA61A9" w14:paraId="4A5B16BF" w14:textId="77777777" w:rsidTr="00D57353">
        <w:tc>
          <w:tcPr>
            <w:tcW w:w="3025" w:type="dxa"/>
            <w:vMerge/>
          </w:tcPr>
          <w:p w14:paraId="4B53577C" w14:textId="77777777" w:rsidR="00D57353" w:rsidRPr="00CA61A9" w:rsidRDefault="00D57353" w:rsidP="00A24069">
            <w:pPr>
              <w:spacing w:before="120"/>
              <w:rPr>
                <w:rFonts w:asciiTheme="minorBidi" w:hAnsiTheme="minorBidi" w:cstheme="minorBidi"/>
                <w:sz w:val="18"/>
                <w:szCs w:val="18"/>
              </w:rPr>
            </w:pPr>
          </w:p>
        </w:tc>
        <w:tc>
          <w:tcPr>
            <w:tcW w:w="4098" w:type="dxa"/>
          </w:tcPr>
          <w:p w14:paraId="574FFA99" w14:textId="77777777" w:rsidR="00D57353" w:rsidRPr="00CA61A9" w:rsidRDefault="00D57353" w:rsidP="00A24069">
            <w:pPr>
              <w:spacing w:before="120"/>
              <w:rPr>
                <w:rFonts w:asciiTheme="minorBidi" w:hAnsiTheme="minorBidi" w:cstheme="minorBidi"/>
                <w:i/>
                <w:iCs/>
                <w:sz w:val="18"/>
                <w:szCs w:val="18"/>
                <w:u w:val="single"/>
              </w:rPr>
            </w:pPr>
            <w:r w:rsidRPr="00CA61A9">
              <w:rPr>
                <w:rFonts w:asciiTheme="minorBidi" w:hAnsiTheme="minorBidi" w:cstheme="minorBidi"/>
                <w:sz w:val="18"/>
                <w:szCs w:val="18"/>
              </w:rPr>
              <w:t>3.7. Ensure that financial or in-kind support to the DCU is a prerequisite to membership of the Ocean Decade Alliance</w:t>
            </w:r>
          </w:p>
        </w:tc>
        <w:tc>
          <w:tcPr>
            <w:tcW w:w="3904" w:type="dxa"/>
          </w:tcPr>
          <w:p w14:paraId="324DB585" w14:textId="345004B5" w:rsidR="00D57353" w:rsidRPr="00CA61A9" w:rsidRDefault="00D57353" w:rsidP="00C450BC">
            <w:pPr>
              <w:spacing w:before="120"/>
              <w:rPr>
                <w:rFonts w:asciiTheme="minorBidi" w:hAnsiTheme="minorBidi" w:cstheme="minorBidi"/>
                <w:sz w:val="18"/>
                <w:szCs w:val="18"/>
              </w:rPr>
            </w:pPr>
            <w:r w:rsidRPr="004D4EF2">
              <w:rPr>
                <w:rFonts w:asciiTheme="minorBidi" w:hAnsiTheme="minorBidi" w:cstheme="minorBidi"/>
                <w:b/>
                <w:bCs/>
                <w:sz w:val="18"/>
                <w:szCs w:val="18"/>
              </w:rPr>
              <w:t xml:space="preserve">Review process for existing members of the Ocean Decade Alliance </w:t>
            </w:r>
            <w:r w:rsidR="00964089" w:rsidRPr="004D4EF2">
              <w:rPr>
                <w:rFonts w:asciiTheme="minorBidi" w:hAnsiTheme="minorBidi" w:cstheme="minorBidi"/>
                <w:b/>
                <w:bCs/>
                <w:sz w:val="18"/>
                <w:szCs w:val="18"/>
              </w:rPr>
              <w:t>is underway on a rolling basis</w:t>
            </w:r>
            <w:r w:rsidRPr="00CA61A9">
              <w:rPr>
                <w:rFonts w:asciiTheme="minorBidi" w:hAnsiTheme="minorBidi" w:cstheme="minorBidi"/>
                <w:sz w:val="18"/>
                <w:szCs w:val="18"/>
              </w:rPr>
              <w:t xml:space="preserve"> with identification of new contributions of financial or in-kind resources.</w:t>
            </w:r>
            <w:r w:rsidR="00C450BC">
              <w:rPr>
                <w:rFonts w:asciiTheme="minorBidi" w:hAnsiTheme="minorBidi" w:cstheme="minorBidi"/>
                <w:sz w:val="18"/>
                <w:szCs w:val="18"/>
              </w:rPr>
              <w:t xml:space="preserve"> </w:t>
            </w:r>
            <w:r w:rsidR="00C450BC" w:rsidRPr="004D4EF2">
              <w:rPr>
                <w:rFonts w:asciiTheme="minorBidi" w:hAnsiTheme="minorBidi" w:cstheme="minorBidi"/>
                <w:b/>
                <w:bCs/>
                <w:sz w:val="18"/>
                <w:szCs w:val="18"/>
              </w:rPr>
              <w:t>Will continue throughout the review an</w:t>
            </w:r>
            <w:r w:rsidR="00001C51" w:rsidRPr="004D4EF2">
              <w:rPr>
                <w:rFonts w:asciiTheme="minorBidi" w:hAnsiTheme="minorBidi" w:cstheme="minorBidi"/>
                <w:b/>
                <w:bCs/>
                <w:sz w:val="18"/>
                <w:szCs w:val="18"/>
              </w:rPr>
              <w:t>d admission process, and reported to IOC Governing Bodies</w:t>
            </w:r>
            <w:r w:rsidRPr="00CA61A9">
              <w:rPr>
                <w:rFonts w:asciiTheme="minorBidi" w:hAnsiTheme="minorBidi" w:cstheme="minorBidi"/>
                <w:sz w:val="18"/>
                <w:szCs w:val="18"/>
              </w:rPr>
              <w:t xml:space="preserve"> </w:t>
            </w:r>
          </w:p>
        </w:tc>
        <w:tc>
          <w:tcPr>
            <w:tcW w:w="1727" w:type="dxa"/>
          </w:tcPr>
          <w:p w14:paraId="6A39856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DCU ES and IOC Management Team</w:t>
            </w:r>
          </w:p>
        </w:tc>
        <w:tc>
          <w:tcPr>
            <w:tcW w:w="1522" w:type="dxa"/>
          </w:tcPr>
          <w:p w14:paraId="3BBFDBAC" w14:textId="53CFF84B" w:rsidR="00D57353" w:rsidRPr="00001C51" w:rsidRDefault="00001C51" w:rsidP="00A24069">
            <w:pPr>
              <w:spacing w:before="120"/>
              <w:rPr>
                <w:rFonts w:asciiTheme="minorBidi" w:hAnsiTheme="minorBidi" w:cstheme="minorBidi"/>
                <w:b/>
                <w:bCs/>
                <w:sz w:val="18"/>
                <w:szCs w:val="18"/>
              </w:rPr>
            </w:pPr>
            <w:r w:rsidRPr="00001C51">
              <w:rPr>
                <w:rFonts w:asciiTheme="minorBidi" w:hAnsiTheme="minorBidi" w:cstheme="minorBidi"/>
                <w:b/>
                <w:bCs/>
                <w:sz w:val="18"/>
                <w:szCs w:val="18"/>
              </w:rPr>
              <w:t>Completed</w:t>
            </w:r>
          </w:p>
        </w:tc>
      </w:tr>
      <w:tr w:rsidR="00D57353" w:rsidRPr="00CA61A9" w14:paraId="5F701D6F" w14:textId="77777777" w:rsidTr="00D57353">
        <w:tc>
          <w:tcPr>
            <w:tcW w:w="3025" w:type="dxa"/>
            <w:vMerge w:val="restart"/>
          </w:tcPr>
          <w:p w14:paraId="23847F3F" w14:textId="77777777" w:rsidR="00D57353" w:rsidRPr="00CA61A9" w:rsidRDefault="00D57353" w:rsidP="00A24069">
            <w:pPr>
              <w:spacing w:before="120"/>
              <w:rPr>
                <w:rFonts w:asciiTheme="minorBidi" w:hAnsiTheme="minorBidi" w:cstheme="minorBidi"/>
                <w:i/>
                <w:sz w:val="18"/>
                <w:szCs w:val="18"/>
              </w:rPr>
            </w:pPr>
            <w:r w:rsidRPr="00CA61A9">
              <w:rPr>
                <w:rFonts w:asciiTheme="minorBidi" w:hAnsiTheme="minorBidi" w:cstheme="minorBidi"/>
                <w:b/>
                <w:bCs/>
                <w:iCs/>
                <w:sz w:val="18"/>
                <w:szCs w:val="18"/>
              </w:rPr>
              <w:t>Recommendation 4</w:t>
            </w:r>
            <w:r w:rsidRPr="00CA61A9">
              <w:rPr>
                <w:rFonts w:asciiTheme="minorBidi" w:hAnsiTheme="minorBidi" w:cstheme="minorBidi"/>
                <w:i/>
                <w:sz w:val="18"/>
                <w:szCs w:val="18"/>
              </w:rPr>
              <w:t>:</w:t>
            </w:r>
          </w:p>
          <w:p w14:paraId="2D124FE8"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color w:val="000000" w:themeColor="text1"/>
                <w:sz w:val="18"/>
                <w:szCs w:val="18"/>
                <w:lang w:eastAsia="en-GB"/>
              </w:rPr>
              <w:t xml:space="preserve">By June 2024 – Consider options for further exploiting IOC-UNESCO’s data and knowledge base </w:t>
            </w:r>
          </w:p>
        </w:tc>
        <w:tc>
          <w:tcPr>
            <w:tcW w:w="4098" w:type="dxa"/>
          </w:tcPr>
          <w:p w14:paraId="32903DB7"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4.1 Institute a working group across the Commission’s Sections </w:t>
            </w:r>
            <w:proofErr w:type="gramStart"/>
            <w:r w:rsidRPr="00CA61A9">
              <w:rPr>
                <w:rFonts w:asciiTheme="minorBidi" w:hAnsiTheme="minorBidi" w:cstheme="minorBidi"/>
                <w:sz w:val="18"/>
                <w:szCs w:val="18"/>
              </w:rPr>
              <w:t>in order to</w:t>
            </w:r>
            <w:proofErr w:type="gramEnd"/>
            <w:r w:rsidRPr="00CA61A9">
              <w:rPr>
                <w:rFonts w:asciiTheme="minorBidi" w:hAnsiTheme="minorBidi" w:cstheme="minorBidi"/>
                <w:sz w:val="18"/>
                <w:szCs w:val="18"/>
              </w:rPr>
              <w:t xml:space="preserve"> develop a list of socio-economic indicators – e.g. for use in the State of the Ocean Report. If necessary, expand the working group to involve other actors such as the UN-Oceans agencies; </w:t>
            </w:r>
          </w:p>
        </w:tc>
        <w:tc>
          <w:tcPr>
            <w:tcW w:w="3904" w:type="dxa"/>
          </w:tcPr>
          <w:p w14:paraId="629C656D" w14:textId="02288435" w:rsidR="00D57353" w:rsidRPr="004D4EF2" w:rsidRDefault="0049029A"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Underway: </w:t>
            </w:r>
            <w:r w:rsidR="00C70687" w:rsidRPr="004D4EF2">
              <w:rPr>
                <w:rFonts w:asciiTheme="minorBidi" w:hAnsiTheme="minorBidi" w:cstheme="minorBidi"/>
                <w:b/>
                <w:bCs/>
                <w:sz w:val="18"/>
                <w:szCs w:val="18"/>
              </w:rPr>
              <w:t>Development of an initial set of ocean indicators by a working group comprised of the GOOS expert panels, IOC sections and</w:t>
            </w:r>
            <w:r w:rsidR="003F2D68" w:rsidRPr="004D4EF2">
              <w:rPr>
                <w:rFonts w:asciiTheme="minorBidi" w:hAnsiTheme="minorBidi" w:cstheme="minorBidi"/>
                <w:b/>
                <w:bCs/>
                <w:sz w:val="18"/>
                <w:szCs w:val="18"/>
              </w:rPr>
              <w:t xml:space="preserve"> partner agencies. The GOSR editorial board is further refining both quantitat</w:t>
            </w:r>
            <w:r w:rsidR="00FF5517" w:rsidRPr="004D4EF2">
              <w:rPr>
                <w:rFonts w:asciiTheme="minorBidi" w:hAnsiTheme="minorBidi" w:cstheme="minorBidi"/>
                <w:b/>
                <w:bCs/>
                <w:sz w:val="18"/>
                <w:szCs w:val="18"/>
              </w:rPr>
              <w:t xml:space="preserve">ive and qualitative indicators/indices for economic components of ocean science and education. Formulation of 2026 </w:t>
            </w:r>
            <w:r w:rsidR="00FF5517" w:rsidRPr="004D4EF2">
              <w:rPr>
                <w:rFonts w:asciiTheme="minorBidi" w:hAnsiTheme="minorBidi" w:cstheme="minorBidi"/>
                <w:b/>
                <w:bCs/>
                <w:i/>
                <w:iCs/>
                <w:sz w:val="18"/>
                <w:szCs w:val="18"/>
              </w:rPr>
              <w:t>S</w:t>
            </w:r>
            <w:r w:rsidR="004D4EF2" w:rsidRPr="004D4EF2">
              <w:rPr>
                <w:rFonts w:asciiTheme="minorBidi" w:hAnsiTheme="minorBidi" w:cstheme="minorBidi"/>
                <w:b/>
                <w:bCs/>
                <w:i/>
                <w:iCs/>
                <w:sz w:val="18"/>
                <w:szCs w:val="18"/>
              </w:rPr>
              <w:t xml:space="preserve">tate of the </w:t>
            </w:r>
            <w:r w:rsidR="00FF5517" w:rsidRPr="004D4EF2">
              <w:rPr>
                <w:rFonts w:asciiTheme="minorBidi" w:hAnsiTheme="minorBidi" w:cstheme="minorBidi"/>
                <w:b/>
                <w:bCs/>
                <w:i/>
                <w:iCs/>
                <w:sz w:val="18"/>
                <w:szCs w:val="18"/>
              </w:rPr>
              <w:t>O</w:t>
            </w:r>
            <w:r w:rsidR="004D4EF2" w:rsidRPr="004D4EF2">
              <w:rPr>
                <w:rFonts w:asciiTheme="minorBidi" w:hAnsiTheme="minorBidi" w:cstheme="minorBidi"/>
                <w:b/>
                <w:bCs/>
                <w:i/>
                <w:iCs/>
                <w:sz w:val="18"/>
                <w:szCs w:val="18"/>
              </w:rPr>
              <w:t xml:space="preserve">cean </w:t>
            </w:r>
            <w:r w:rsidR="00FF5517" w:rsidRPr="004D4EF2">
              <w:rPr>
                <w:rFonts w:asciiTheme="minorBidi" w:hAnsiTheme="minorBidi" w:cstheme="minorBidi"/>
                <w:b/>
                <w:bCs/>
                <w:i/>
                <w:iCs/>
                <w:sz w:val="18"/>
                <w:szCs w:val="18"/>
              </w:rPr>
              <w:t>R</w:t>
            </w:r>
            <w:r w:rsidR="004D4EF2" w:rsidRPr="004D4EF2">
              <w:rPr>
                <w:rFonts w:asciiTheme="minorBidi" w:hAnsiTheme="minorBidi" w:cstheme="minorBidi"/>
                <w:b/>
                <w:bCs/>
                <w:i/>
                <w:iCs/>
                <w:sz w:val="18"/>
                <w:szCs w:val="18"/>
              </w:rPr>
              <w:t>eport</w:t>
            </w:r>
            <w:r w:rsidR="00FF5517" w:rsidRPr="004D4EF2">
              <w:rPr>
                <w:rFonts w:asciiTheme="minorBidi" w:hAnsiTheme="minorBidi" w:cstheme="minorBidi"/>
                <w:b/>
                <w:bCs/>
                <w:sz w:val="18"/>
                <w:szCs w:val="18"/>
              </w:rPr>
              <w:t xml:space="preserve"> advisory board under </w:t>
            </w:r>
            <w:r w:rsidR="00061A67" w:rsidRPr="004D4EF2">
              <w:rPr>
                <w:rFonts w:asciiTheme="minorBidi" w:hAnsiTheme="minorBidi" w:cstheme="minorBidi"/>
                <w:b/>
                <w:bCs/>
                <w:sz w:val="18"/>
                <w:szCs w:val="18"/>
              </w:rPr>
              <w:t xml:space="preserve">way </w:t>
            </w:r>
            <w:r w:rsidR="00FF5517" w:rsidRPr="004D4EF2">
              <w:rPr>
                <w:rFonts w:asciiTheme="minorBidi" w:hAnsiTheme="minorBidi" w:cstheme="minorBidi"/>
                <w:b/>
                <w:bCs/>
                <w:sz w:val="18"/>
                <w:szCs w:val="18"/>
              </w:rPr>
              <w:t xml:space="preserve">(ref. </w:t>
            </w:r>
            <w:r w:rsidR="00D45CAC" w:rsidRPr="004D4EF2">
              <w:rPr>
                <w:rFonts w:asciiTheme="minorBidi" w:hAnsiTheme="minorBidi" w:cstheme="minorBidi"/>
                <w:b/>
                <w:bCs/>
                <w:sz w:val="18"/>
                <w:szCs w:val="18"/>
              </w:rPr>
              <w:t xml:space="preserve">IOC </w:t>
            </w:r>
            <w:r w:rsidR="007F1BCD" w:rsidRPr="004D4EF2">
              <w:rPr>
                <w:rFonts w:asciiTheme="minorBidi" w:hAnsiTheme="minorBidi" w:cstheme="minorBidi"/>
                <w:b/>
                <w:bCs/>
                <w:sz w:val="18"/>
                <w:szCs w:val="18"/>
              </w:rPr>
              <w:t xml:space="preserve">Circular Letter </w:t>
            </w:r>
            <w:hyperlink r:id="rId18" w:history="1">
              <w:r w:rsidR="00D45CAC" w:rsidRPr="004D4EF2">
                <w:rPr>
                  <w:rStyle w:val="Hyperlink"/>
                  <w:rFonts w:ascii="Arial" w:hAnsi="Arial" w:cs="Arial"/>
                  <w:b/>
                  <w:bCs/>
                  <w:sz w:val="18"/>
                  <w:szCs w:val="18"/>
                </w:rPr>
                <w:t>3032</w:t>
              </w:r>
            </w:hyperlink>
            <w:r w:rsidR="00D45CAC" w:rsidRPr="004D4EF2">
              <w:rPr>
                <w:rFonts w:asciiTheme="minorBidi" w:hAnsiTheme="minorBidi" w:cstheme="minorBidi"/>
                <w:b/>
                <w:bCs/>
                <w:sz w:val="18"/>
                <w:szCs w:val="18"/>
              </w:rPr>
              <w:t>) with work to commence on an outline, including consideration of potential indicators in May 2025</w:t>
            </w:r>
            <w:r w:rsidR="00412B17" w:rsidRPr="004D4EF2">
              <w:rPr>
                <w:rFonts w:asciiTheme="minorBidi" w:hAnsiTheme="minorBidi" w:cstheme="minorBidi"/>
                <w:b/>
                <w:bCs/>
                <w:sz w:val="18"/>
                <w:szCs w:val="18"/>
              </w:rPr>
              <w:t>.</w:t>
            </w:r>
          </w:p>
        </w:tc>
        <w:tc>
          <w:tcPr>
            <w:tcW w:w="1727" w:type="dxa"/>
          </w:tcPr>
          <w:p w14:paraId="24EBFF89"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Management Team</w:t>
            </w:r>
          </w:p>
        </w:tc>
        <w:tc>
          <w:tcPr>
            <w:tcW w:w="1522" w:type="dxa"/>
          </w:tcPr>
          <w:p w14:paraId="0CB6E4B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Q3 2025</w:t>
            </w:r>
          </w:p>
        </w:tc>
      </w:tr>
      <w:tr w:rsidR="00D57353" w:rsidRPr="00CA61A9" w14:paraId="47E2915E" w14:textId="77777777" w:rsidTr="00D57353">
        <w:tc>
          <w:tcPr>
            <w:tcW w:w="3025" w:type="dxa"/>
            <w:vMerge/>
          </w:tcPr>
          <w:p w14:paraId="6B2621EF" w14:textId="77777777" w:rsidR="00D57353" w:rsidRPr="00CA61A9" w:rsidRDefault="00D57353" w:rsidP="00A24069">
            <w:pPr>
              <w:spacing w:before="120"/>
              <w:rPr>
                <w:rFonts w:asciiTheme="minorBidi" w:hAnsiTheme="minorBidi" w:cstheme="minorBidi"/>
                <w:sz w:val="18"/>
                <w:szCs w:val="18"/>
              </w:rPr>
            </w:pPr>
          </w:p>
        </w:tc>
        <w:tc>
          <w:tcPr>
            <w:tcW w:w="4098" w:type="dxa"/>
          </w:tcPr>
          <w:p w14:paraId="30F0BC45"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4.2 Develop processes for streamlining and facilitating the Commission’s data pipeline so it can support the development of indicators proposed above; </w:t>
            </w:r>
          </w:p>
        </w:tc>
        <w:tc>
          <w:tcPr>
            <w:tcW w:w="3904" w:type="dxa"/>
          </w:tcPr>
          <w:p w14:paraId="1E737304" w14:textId="7F892057" w:rsidR="00D57353" w:rsidRPr="004D4EF2" w:rsidRDefault="00412B17"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Underway: Proposal for IOC Data Architecture submitted to the 33</w:t>
            </w:r>
            <w:r w:rsidRPr="004D4EF2">
              <w:rPr>
                <w:rFonts w:asciiTheme="minorBidi" w:hAnsiTheme="minorBidi" w:cstheme="minorBidi"/>
                <w:b/>
                <w:bCs/>
                <w:sz w:val="18"/>
                <w:szCs w:val="18"/>
                <w:vertAlign w:val="superscript"/>
              </w:rPr>
              <w:t>rd</w:t>
            </w:r>
            <w:r w:rsidRPr="004D4EF2">
              <w:rPr>
                <w:rFonts w:asciiTheme="minorBidi" w:hAnsiTheme="minorBidi" w:cstheme="minorBidi"/>
                <w:b/>
                <w:bCs/>
                <w:sz w:val="18"/>
                <w:szCs w:val="18"/>
              </w:rPr>
              <w:t xml:space="preserve"> session of the IOC Assembly and planning for supporting SDG data collection related to ocean acidification (indicator 14.3.1) in progress</w:t>
            </w:r>
          </w:p>
        </w:tc>
        <w:tc>
          <w:tcPr>
            <w:tcW w:w="1727" w:type="dxa"/>
          </w:tcPr>
          <w:p w14:paraId="4E103306"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Management Team</w:t>
            </w:r>
          </w:p>
        </w:tc>
        <w:tc>
          <w:tcPr>
            <w:tcW w:w="1522" w:type="dxa"/>
          </w:tcPr>
          <w:p w14:paraId="5E824D76"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Q3 2025</w:t>
            </w:r>
          </w:p>
        </w:tc>
      </w:tr>
      <w:tr w:rsidR="00D57353" w:rsidRPr="00CA61A9" w14:paraId="554EA334" w14:textId="77777777" w:rsidTr="00D57353">
        <w:trPr>
          <w:trHeight w:val="1250"/>
        </w:trPr>
        <w:tc>
          <w:tcPr>
            <w:tcW w:w="3025" w:type="dxa"/>
            <w:vMerge/>
          </w:tcPr>
          <w:p w14:paraId="59EF9365" w14:textId="77777777" w:rsidR="00D57353" w:rsidRPr="00CA61A9" w:rsidRDefault="00D57353" w:rsidP="00A24069">
            <w:pPr>
              <w:spacing w:before="120"/>
              <w:rPr>
                <w:rFonts w:asciiTheme="minorBidi" w:hAnsiTheme="minorBidi" w:cstheme="minorBidi"/>
                <w:sz w:val="18"/>
                <w:szCs w:val="18"/>
              </w:rPr>
            </w:pPr>
          </w:p>
        </w:tc>
        <w:tc>
          <w:tcPr>
            <w:tcW w:w="4098" w:type="dxa"/>
          </w:tcPr>
          <w:p w14:paraId="56F67822"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4.3 Accelerate the development of the Ocean Data and Information System (ODIS) and its contribution to the UN Ocean Decade</w:t>
            </w:r>
          </w:p>
        </w:tc>
        <w:tc>
          <w:tcPr>
            <w:tcW w:w="3904" w:type="dxa"/>
          </w:tcPr>
          <w:p w14:paraId="486BA683" w14:textId="0F4349C2"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color w:val="191919"/>
                <w:sz w:val="18"/>
                <w:szCs w:val="18"/>
              </w:rPr>
              <w:t>A Programme called “An Ocean Data and Information System supporting the UN Decade of Ocean Science for Sustainable Development” (OceanData-2030) has been registered with the UN Decade for Ocean Science for Sustainable Development.</w:t>
            </w:r>
            <w:r w:rsidR="00FA1170">
              <w:rPr>
                <w:rFonts w:asciiTheme="minorBidi" w:hAnsiTheme="minorBidi" w:cstheme="minorBidi"/>
                <w:color w:val="191919"/>
                <w:sz w:val="18"/>
                <w:szCs w:val="18"/>
              </w:rPr>
              <w:t xml:space="preserve"> </w:t>
            </w:r>
            <w:r w:rsidR="00FA1170" w:rsidRPr="004D4EF2">
              <w:rPr>
                <w:rFonts w:asciiTheme="minorBidi" w:hAnsiTheme="minorBidi" w:cstheme="minorBidi"/>
                <w:b/>
                <w:bCs/>
                <w:color w:val="191919"/>
                <w:sz w:val="18"/>
                <w:szCs w:val="18"/>
              </w:rPr>
              <w:t>Work will continue, with regular updates on progress to IOC Governing Bodies</w:t>
            </w:r>
          </w:p>
        </w:tc>
        <w:tc>
          <w:tcPr>
            <w:tcW w:w="1727" w:type="dxa"/>
          </w:tcPr>
          <w:p w14:paraId="64DFDA96"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Head IOC/OST and IOC Management Team</w:t>
            </w:r>
          </w:p>
        </w:tc>
        <w:tc>
          <w:tcPr>
            <w:tcW w:w="1522" w:type="dxa"/>
          </w:tcPr>
          <w:p w14:paraId="7AD19504" w14:textId="4B2D31A2" w:rsidR="00D57353" w:rsidRPr="00FA1170" w:rsidRDefault="0016177D" w:rsidP="00A24069">
            <w:pPr>
              <w:spacing w:before="120"/>
              <w:rPr>
                <w:rFonts w:asciiTheme="minorBidi" w:hAnsiTheme="minorBidi" w:cstheme="minorBidi"/>
                <w:b/>
                <w:bCs/>
                <w:sz w:val="18"/>
                <w:szCs w:val="18"/>
              </w:rPr>
            </w:pPr>
            <w:r w:rsidRPr="00FA1170">
              <w:rPr>
                <w:rFonts w:asciiTheme="minorBidi" w:hAnsiTheme="minorBidi" w:cstheme="minorBidi"/>
                <w:b/>
                <w:bCs/>
                <w:sz w:val="18"/>
                <w:szCs w:val="18"/>
              </w:rPr>
              <w:t>Completed</w:t>
            </w:r>
          </w:p>
        </w:tc>
      </w:tr>
      <w:tr w:rsidR="00D57353" w:rsidRPr="00CA61A9" w14:paraId="65E1581E" w14:textId="77777777" w:rsidTr="00D57353">
        <w:tc>
          <w:tcPr>
            <w:tcW w:w="3025" w:type="dxa"/>
            <w:vMerge/>
          </w:tcPr>
          <w:p w14:paraId="44D7D955" w14:textId="77777777" w:rsidR="00D57353" w:rsidRPr="00CA61A9" w:rsidRDefault="00D57353" w:rsidP="00A24069">
            <w:pPr>
              <w:spacing w:before="120"/>
              <w:rPr>
                <w:rFonts w:asciiTheme="minorBidi" w:hAnsiTheme="minorBidi" w:cstheme="minorBidi"/>
                <w:sz w:val="18"/>
                <w:szCs w:val="18"/>
              </w:rPr>
            </w:pPr>
          </w:p>
        </w:tc>
        <w:tc>
          <w:tcPr>
            <w:tcW w:w="4098" w:type="dxa"/>
          </w:tcPr>
          <w:p w14:paraId="27B96ABF"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4.4 Seek funding to prepare the first State of the Ocean Report by the 32nd session of the Assembly in 2023. </w:t>
            </w:r>
          </w:p>
        </w:tc>
        <w:tc>
          <w:tcPr>
            <w:tcW w:w="3904" w:type="dxa"/>
          </w:tcPr>
          <w:p w14:paraId="0F40E533" w14:textId="1F298336" w:rsidR="00D57353" w:rsidRPr="00CA61A9" w:rsidRDefault="00D57353" w:rsidP="00A24069">
            <w:pPr>
              <w:spacing w:before="120"/>
              <w:rPr>
                <w:rFonts w:asciiTheme="minorBidi" w:hAnsiTheme="minorBidi" w:cstheme="minorBidi"/>
                <w:sz w:val="18"/>
                <w:szCs w:val="18"/>
              </w:rPr>
            </w:pPr>
          </w:p>
        </w:tc>
        <w:tc>
          <w:tcPr>
            <w:tcW w:w="1727" w:type="dxa"/>
          </w:tcPr>
          <w:p w14:paraId="47A597C4"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Management Team</w:t>
            </w:r>
          </w:p>
        </w:tc>
        <w:tc>
          <w:tcPr>
            <w:tcW w:w="1522" w:type="dxa"/>
          </w:tcPr>
          <w:p w14:paraId="36BC038F" w14:textId="49EBEF42" w:rsidR="00D57353" w:rsidRPr="003B249A" w:rsidRDefault="00980B64" w:rsidP="00A24069">
            <w:pPr>
              <w:spacing w:before="120"/>
              <w:rPr>
                <w:rFonts w:asciiTheme="minorBidi" w:hAnsiTheme="minorBidi" w:cstheme="minorBidi"/>
                <w:b/>
                <w:bCs/>
                <w:sz w:val="18"/>
                <w:szCs w:val="18"/>
              </w:rPr>
            </w:pPr>
            <w:r w:rsidRPr="003B249A">
              <w:rPr>
                <w:rFonts w:asciiTheme="minorBidi" w:hAnsiTheme="minorBidi" w:cstheme="minorBidi"/>
                <w:b/>
                <w:bCs/>
                <w:sz w:val="18"/>
                <w:szCs w:val="18"/>
              </w:rPr>
              <w:t>Completed</w:t>
            </w:r>
          </w:p>
        </w:tc>
      </w:tr>
      <w:tr w:rsidR="00D57353" w:rsidRPr="00CA61A9" w14:paraId="683A2BD1" w14:textId="77777777" w:rsidTr="00D57353">
        <w:tc>
          <w:tcPr>
            <w:tcW w:w="3025" w:type="dxa"/>
            <w:vMerge w:val="restart"/>
          </w:tcPr>
          <w:p w14:paraId="10FE6891" w14:textId="77777777" w:rsidR="00D57353" w:rsidRPr="00CA61A9" w:rsidRDefault="00D57353" w:rsidP="00A24069">
            <w:pPr>
              <w:spacing w:before="120"/>
              <w:rPr>
                <w:rFonts w:asciiTheme="minorBidi" w:hAnsiTheme="minorBidi" w:cstheme="minorBidi"/>
                <w:i/>
                <w:sz w:val="18"/>
                <w:szCs w:val="18"/>
              </w:rPr>
            </w:pPr>
            <w:r w:rsidRPr="00CA61A9">
              <w:rPr>
                <w:rFonts w:asciiTheme="minorBidi" w:hAnsiTheme="minorBidi" w:cstheme="minorBidi"/>
                <w:b/>
                <w:bCs/>
                <w:iCs/>
                <w:sz w:val="18"/>
                <w:szCs w:val="18"/>
              </w:rPr>
              <w:t>Recommendation 5</w:t>
            </w:r>
            <w:r w:rsidRPr="00CA61A9">
              <w:rPr>
                <w:rFonts w:asciiTheme="minorBidi" w:hAnsiTheme="minorBidi" w:cstheme="minorBidi"/>
                <w:i/>
                <w:sz w:val="18"/>
                <w:szCs w:val="18"/>
              </w:rPr>
              <w:t>:</w:t>
            </w:r>
          </w:p>
          <w:p w14:paraId="0AFE4B36" w14:textId="77777777" w:rsidR="00D57353" w:rsidRPr="00CA61A9" w:rsidRDefault="00D57353" w:rsidP="00A24069">
            <w:pPr>
              <w:spacing w:before="120"/>
              <w:rPr>
                <w:rFonts w:asciiTheme="minorBidi" w:hAnsiTheme="minorBidi" w:cstheme="minorBidi"/>
                <w:sz w:val="18"/>
                <w:szCs w:val="18"/>
              </w:rPr>
            </w:pPr>
            <w:r w:rsidRPr="00CA61A9">
              <w:rPr>
                <w:rFonts w:asciiTheme="minorBidi" w:eastAsia="SimSun" w:hAnsiTheme="minorBidi" w:cstheme="minorBidi"/>
                <w:color w:val="000000" w:themeColor="text1"/>
                <w:sz w:val="18"/>
                <w:szCs w:val="18"/>
              </w:rPr>
              <w:t xml:space="preserve">By June 2022 – Explore means of attracting additional senior policy engagement in the work of IOC-UNESCO </w:t>
            </w:r>
          </w:p>
        </w:tc>
        <w:tc>
          <w:tcPr>
            <w:tcW w:w="4098" w:type="dxa"/>
          </w:tcPr>
          <w:p w14:paraId="58980380"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5.1 Implement a mapping exercise with key national and regional organizations across diverse sectors with a role in policymaking to identify priority entry points for reinforced engagement via the Ocean Decade and IOC’s programmatic work;</w:t>
            </w:r>
          </w:p>
        </w:tc>
        <w:tc>
          <w:tcPr>
            <w:tcW w:w="3904" w:type="dxa"/>
          </w:tcPr>
          <w:p w14:paraId="5ACB17C5" w14:textId="306D6BB2" w:rsidR="00D57353" w:rsidRPr="004D4EF2" w:rsidRDefault="00D57353"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To be </w:t>
            </w:r>
            <w:r w:rsidR="0024054C" w:rsidRPr="004D4EF2">
              <w:rPr>
                <w:rFonts w:asciiTheme="minorBidi" w:hAnsiTheme="minorBidi" w:cstheme="minorBidi"/>
                <w:b/>
                <w:bCs/>
                <w:sz w:val="18"/>
                <w:szCs w:val="18"/>
              </w:rPr>
              <w:t>carried out as part of</w:t>
            </w:r>
            <w:r w:rsidR="00FF5F20" w:rsidRPr="004D4EF2">
              <w:rPr>
                <w:rFonts w:asciiTheme="minorBidi" w:hAnsiTheme="minorBidi" w:cstheme="minorBidi"/>
                <w:b/>
                <w:bCs/>
                <w:sz w:val="18"/>
                <w:szCs w:val="18"/>
              </w:rPr>
              <w:t xml:space="preserve"> Phase </w:t>
            </w:r>
            <w:r w:rsidR="0024054C" w:rsidRPr="004D4EF2">
              <w:rPr>
                <w:rFonts w:asciiTheme="minorBidi" w:hAnsiTheme="minorBidi" w:cstheme="minorBidi"/>
                <w:b/>
                <w:bCs/>
                <w:sz w:val="18"/>
                <w:szCs w:val="18"/>
              </w:rPr>
              <w:t xml:space="preserve">2 of the ‘IOC and Future of the Ocean’ consultation process. </w:t>
            </w:r>
          </w:p>
        </w:tc>
        <w:tc>
          <w:tcPr>
            <w:tcW w:w="1727" w:type="dxa"/>
          </w:tcPr>
          <w:p w14:paraId="3C5BCB57"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Management Team</w:t>
            </w:r>
          </w:p>
        </w:tc>
        <w:tc>
          <w:tcPr>
            <w:tcW w:w="1522" w:type="dxa"/>
          </w:tcPr>
          <w:p w14:paraId="28949C3A" w14:textId="1C53D3F0"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Q</w:t>
            </w:r>
            <w:r w:rsidR="00DB0272">
              <w:rPr>
                <w:rFonts w:asciiTheme="minorBidi" w:hAnsiTheme="minorBidi" w:cstheme="minorBidi"/>
                <w:sz w:val="18"/>
                <w:szCs w:val="18"/>
              </w:rPr>
              <w:t>2</w:t>
            </w:r>
            <w:r w:rsidRPr="00CA61A9">
              <w:rPr>
                <w:rFonts w:asciiTheme="minorBidi" w:hAnsiTheme="minorBidi" w:cstheme="minorBidi"/>
                <w:sz w:val="18"/>
                <w:szCs w:val="18"/>
              </w:rPr>
              <w:t xml:space="preserve"> </w:t>
            </w:r>
            <w:r w:rsidRPr="004D4EF2">
              <w:rPr>
                <w:rFonts w:asciiTheme="minorBidi" w:hAnsiTheme="minorBidi" w:cstheme="minorBidi"/>
                <w:b/>
                <w:bCs/>
                <w:sz w:val="18"/>
                <w:szCs w:val="18"/>
              </w:rPr>
              <w:t>202</w:t>
            </w:r>
            <w:r w:rsidR="00DB0272" w:rsidRPr="004D4EF2">
              <w:rPr>
                <w:rFonts w:asciiTheme="minorBidi" w:hAnsiTheme="minorBidi" w:cstheme="minorBidi"/>
                <w:b/>
                <w:bCs/>
                <w:sz w:val="18"/>
                <w:szCs w:val="18"/>
              </w:rPr>
              <w:t>6</w:t>
            </w:r>
            <w:r w:rsidR="00DB0272">
              <w:rPr>
                <w:rFonts w:asciiTheme="minorBidi" w:hAnsiTheme="minorBidi" w:cstheme="minorBidi"/>
                <w:sz w:val="18"/>
                <w:szCs w:val="18"/>
              </w:rPr>
              <w:t xml:space="preserve"> </w:t>
            </w:r>
            <w:r w:rsidR="00DB0272" w:rsidRPr="004D4EF2">
              <w:rPr>
                <w:rFonts w:asciiTheme="minorBidi" w:hAnsiTheme="minorBidi" w:cstheme="minorBidi"/>
                <w:b/>
                <w:bCs/>
                <w:sz w:val="18"/>
                <w:szCs w:val="18"/>
              </w:rPr>
              <w:t>with results presented to EC</w:t>
            </w:r>
            <w:r w:rsidR="00817F58" w:rsidRPr="004D4EF2">
              <w:rPr>
                <w:rFonts w:asciiTheme="minorBidi" w:hAnsiTheme="minorBidi" w:cstheme="minorBidi"/>
                <w:b/>
                <w:bCs/>
                <w:sz w:val="18"/>
                <w:szCs w:val="18"/>
              </w:rPr>
              <w:t>-</w:t>
            </w:r>
            <w:r w:rsidR="00DB0272" w:rsidRPr="004D4EF2">
              <w:rPr>
                <w:rFonts w:asciiTheme="minorBidi" w:hAnsiTheme="minorBidi" w:cstheme="minorBidi"/>
                <w:b/>
                <w:bCs/>
                <w:sz w:val="18"/>
                <w:szCs w:val="18"/>
              </w:rPr>
              <w:t>5</w:t>
            </w:r>
            <w:r w:rsidR="00817F58" w:rsidRPr="004D4EF2">
              <w:rPr>
                <w:rFonts w:asciiTheme="minorBidi" w:hAnsiTheme="minorBidi" w:cstheme="minorBidi"/>
                <w:b/>
                <w:bCs/>
                <w:sz w:val="18"/>
                <w:szCs w:val="18"/>
              </w:rPr>
              <w:t>9</w:t>
            </w:r>
            <w:r w:rsidR="00DB0272" w:rsidRPr="004D4EF2">
              <w:rPr>
                <w:rFonts w:asciiTheme="minorBidi" w:hAnsiTheme="minorBidi" w:cstheme="minorBidi"/>
                <w:b/>
                <w:bCs/>
                <w:sz w:val="18"/>
                <w:szCs w:val="18"/>
              </w:rPr>
              <w:t>.</w:t>
            </w:r>
            <w:r w:rsidRPr="00CA61A9">
              <w:rPr>
                <w:rFonts w:asciiTheme="minorBidi" w:hAnsiTheme="minorBidi" w:cstheme="minorBidi"/>
                <w:sz w:val="18"/>
                <w:szCs w:val="18"/>
              </w:rPr>
              <w:t xml:space="preserve"> </w:t>
            </w:r>
          </w:p>
        </w:tc>
      </w:tr>
      <w:tr w:rsidR="00D57353" w:rsidRPr="00CA61A9" w14:paraId="312D9E4A" w14:textId="77777777" w:rsidTr="00D57353">
        <w:tc>
          <w:tcPr>
            <w:tcW w:w="3025" w:type="dxa"/>
            <w:vMerge/>
          </w:tcPr>
          <w:p w14:paraId="1AAFED76" w14:textId="77777777" w:rsidR="00D57353" w:rsidRPr="00CA61A9" w:rsidRDefault="00D57353" w:rsidP="00A24069">
            <w:pPr>
              <w:spacing w:before="120"/>
              <w:rPr>
                <w:rFonts w:asciiTheme="minorBidi" w:hAnsiTheme="minorBidi" w:cstheme="minorBidi"/>
                <w:sz w:val="18"/>
                <w:szCs w:val="18"/>
              </w:rPr>
            </w:pPr>
          </w:p>
        </w:tc>
        <w:tc>
          <w:tcPr>
            <w:tcW w:w="4098" w:type="dxa"/>
          </w:tcPr>
          <w:p w14:paraId="6A3576FF"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5.2 Effect a step change in communications effectiveness beginning with developing an IOC Communication Strategy with assistance from a communications expert. The process should be participatory and include members of the Senior Management Team </w:t>
            </w:r>
            <w:proofErr w:type="gramStart"/>
            <w:r w:rsidRPr="00CA61A9">
              <w:rPr>
                <w:rFonts w:asciiTheme="minorBidi" w:hAnsiTheme="minorBidi" w:cstheme="minorBidi"/>
                <w:sz w:val="18"/>
                <w:szCs w:val="18"/>
              </w:rPr>
              <w:t>in order to</w:t>
            </w:r>
            <w:proofErr w:type="gramEnd"/>
            <w:r w:rsidRPr="00CA61A9">
              <w:rPr>
                <w:rFonts w:asciiTheme="minorBidi" w:hAnsiTheme="minorBidi" w:cstheme="minorBidi"/>
                <w:sz w:val="18"/>
                <w:szCs w:val="18"/>
              </w:rPr>
              <w:t xml:space="preserve"> agree upon the Commission’s vision statement, and priority communications themes, audiences, and channels, respecting the fact that IOC is a component of UNESCO; </w:t>
            </w:r>
          </w:p>
        </w:tc>
        <w:tc>
          <w:tcPr>
            <w:tcW w:w="3904" w:type="dxa"/>
          </w:tcPr>
          <w:p w14:paraId="2022F825" w14:textId="11EEBB04" w:rsidR="00D57353" w:rsidRPr="004D4EF2" w:rsidRDefault="00D57353"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The IOC Communications Strategy will</w:t>
            </w:r>
            <w:r w:rsidR="00885DDD" w:rsidRPr="004D4EF2">
              <w:rPr>
                <w:rFonts w:asciiTheme="minorBidi" w:hAnsiTheme="minorBidi" w:cstheme="minorBidi"/>
                <w:b/>
                <w:bCs/>
                <w:sz w:val="18"/>
                <w:szCs w:val="18"/>
              </w:rPr>
              <w:t xml:space="preserve"> be developed as a </w:t>
            </w:r>
            <w:r w:rsidR="00920C6B" w:rsidRPr="004D4EF2">
              <w:rPr>
                <w:rFonts w:asciiTheme="minorBidi" w:hAnsiTheme="minorBidi" w:cstheme="minorBidi"/>
                <w:b/>
                <w:bCs/>
                <w:sz w:val="18"/>
                <w:szCs w:val="18"/>
              </w:rPr>
              <w:t xml:space="preserve">complement </w:t>
            </w:r>
            <w:r w:rsidR="00175D0F" w:rsidRPr="004D4EF2">
              <w:rPr>
                <w:rFonts w:asciiTheme="minorBidi" w:hAnsiTheme="minorBidi" w:cstheme="minorBidi"/>
                <w:b/>
                <w:bCs/>
                <w:sz w:val="18"/>
                <w:szCs w:val="18"/>
              </w:rPr>
              <w:t xml:space="preserve">to the </w:t>
            </w:r>
            <w:r w:rsidR="00920C6B" w:rsidRPr="004D4EF2">
              <w:rPr>
                <w:rFonts w:asciiTheme="minorBidi" w:hAnsiTheme="minorBidi" w:cstheme="minorBidi"/>
                <w:b/>
                <w:bCs/>
                <w:sz w:val="18"/>
                <w:szCs w:val="18"/>
              </w:rPr>
              <w:t>Medium-Term</w:t>
            </w:r>
            <w:r w:rsidR="00175D0F" w:rsidRPr="004D4EF2">
              <w:rPr>
                <w:rFonts w:asciiTheme="minorBidi" w:hAnsiTheme="minorBidi" w:cstheme="minorBidi"/>
                <w:b/>
                <w:bCs/>
                <w:sz w:val="18"/>
                <w:szCs w:val="18"/>
              </w:rPr>
              <w:t xml:space="preserve"> Strategy Implementation Plan</w:t>
            </w:r>
            <w:r w:rsidR="007F1BCD" w:rsidRPr="004D4EF2">
              <w:rPr>
                <w:rFonts w:asciiTheme="minorBidi" w:hAnsiTheme="minorBidi" w:cstheme="minorBidi"/>
                <w:b/>
                <w:bCs/>
                <w:sz w:val="18"/>
                <w:szCs w:val="18"/>
              </w:rPr>
              <w:t>,</w:t>
            </w:r>
            <w:r w:rsidR="00175D0F" w:rsidRPr="004D4EF2">
              <w:rPr>
                <w:rFonts w:asciiTheme="minorBidi" w:hAnsiTheme="minorBidi" w:cstheme="minorBidi"/>
                <w:b/>
                <w:bCs/>
                <w:sz w:val="18"/>
                <w:szCs w:val="18"/>
              </w:rPr>
              <w:t xml:space="preserve"> which is being developed by the IOC Secretariat</w:t>
            </w:r>
            <w:r w:rsidR="007F1BCD" w:rsidRPr="004D4EF2">
              <w:rPr>
                <w:rFonts w:asciiTheme="minorBidi" w:hAnsiTheme="minorBidi" w:cstheme="minorBidi"/>
                <w:b/>
                <w:bCs/>
                <w:sz w:val="18"/>
                <w:szCs w:val="18"/>
              </w:rPr>
              <w:t>,</w:t>
            </w:r>
            <w:r w:rsidR="00920C6B" w:rsidRPr="004D4EF2">
              <w:rPr>
                <w:rFonts w:asciiTheme="minorBidi" w:hAnsiTheme="minorBidi" w:cstheme="minorBidi"/>
                <w:b/>
                <w:bCs/>
                <w:sz w:val="18"/>
                <w:szCs w:val="18"/>
              </w:rPr>
              <w:t xml:space="preserve"> and which is also being informed by the ‘IOC and Future of the Ocean’ consultation process</w:t>
            </w:r>
            <w:r w:rsidR="007F1BCD" w:rsidRPr="004D4EF2">
              <w:rPr>
                <w:rFonts w:asciiTheme="minorBidi" w:hAnsiTheme="minorBidi" w:cstheme="minorBidi"/>
                <w:b/>
                <w:bCs/>
                <w:sz w:val="18"/>
                <w:szCs w:val="18"/>
              </w:rPr>
              <w:t>’</w:t>
            </w:r>
            <w:r w:rsidR="00175D0F" w:rsidRPr="004D4EF2">
              <w:rPr>
                <w:rFonts w:asciiTheme="minorBidi" w:hAnsiTheme="minorBidi" w:cstheme="minorBidi"/>
                <w:b/>
                <w:bCs/>
                <w:sz w:val="18"/>
                <w:szCs w:val="18"/>
              </w:rPr>
              <w:t xml:space="preserve">. </w:t>
            </w:r>
            <w:r w:rsidR="00920C6B" w:rsidRPr="004D4EF2">
              <w:rPr>
                <w:rFonts w:asciiTheme="minorBidi" w:hAnsiTheme="minorBidi" w:cstheme="minorBidi"/>
                <w:b/>
                <w:bCs/>
                <w:sz w:val="18"/>
                <w:szCs w:val="18"/>
              </w:rPr>
              <w:t xml:space="preserve">The communications strategy will be developed via a </w:t>
            </w:r>
            <w:r w:rsidRPr="004D4EF2">
              <w:rPr>
                <w:rFonts w:asciiTheme="minorBidi" w:hAnsiTheme="minorBidi" w:cstheme="minorBidi"/>
                <w:b/>
                <w:bCs/>
                <w:sz w:val="18"/>
                <w:szCs w:val="18"/>
              </w:rPr>
              <w:t>participatory process that involves interviews with stakeholders, including members of the Senior Management Team to identify priority communications themes, audiences, and channels.</w:t>
            </w:r>
          </w:p>
        </w:tc>
        <w:tc>
          <w:tcPr>
            <w:tcW w:w="1727" w:type="dxa"/>
          </w:tcPr>
          <w:p w14:paraId="78965F4E"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Management Team</w:t>
            </w:r>
          </w:p>
        </w:tc>
        <w:tc>
          <w:tcPr>
            <w:tcW w:w="1522" w:type="dxa"/>
          </w:tcPr>
          <w:p w14:paraId="3BD3388F" w14:textId="027762CD" w:rsidR="00D57353" w:rsidRPr="00CA61A9" w:rsidRDefault="00D57353" w:rsidP="00A24069">
            <w:pPr>
              <w:spacing w:before="120"/>
              <w:rPr>
                <w:rFonts w:asciiTheme="minorBidi" w:hAnsiTheme="minorBidi" w:cstheme="minorBidi"/>
                <w:sz w:val="18"/>
                <w:szCs w:val="18"/>
                <w:lang w:val="en-US"/>
              </w:rPr>
            </w:pPr>
            <w:r w:rsidRPr="00CA61A9">
              <w:rPr>
                <w:rFonts w:asciiTheme="minorBidi" w:hAnsiTheme="minorBidi" w:cstheme="minorBidi"/>
                <w:sz w:val="18"/>
                <w:szCs w:val="18"/>
                <w:lang w:val="en-US"/>
              </w:rPr>
              <w:t xml:space="preserve">Q2 </w:t>
            </w:r>
            <w:r w:rsidRPr="004D4EF2">
              <w:rPr>
                <w:rFonts w:asciiTheme="minorBidi" w:hAnsiTheme="minorBidi" w:cstheme="minorBidi"/>
                <w:b/>
                <w:bCs/>
                <w:sz w:val="18"/>
                <w:szCs w:val="18"/>
                <w:lang w:val="en-US"/>
              </w:rPr>
              <w:t>202</w:t>
            </w:r>
            <w:r w:rsidR="00920C6B" w:rsidRPr="004D4EF2">
              <w:rPr>
                <w:rFonts w:asciiTheme="minorBidi" w:hAnsiTheme="minorBidi" w:cstheme="minorBidi"/>
                <w:b/>
                <w:bCs/>
                <w:sz w:val="18"/>
                <w:szCs w:val="18"/>
                <w:lang w:val="en-US"/>
              </w:rPr>
              <w:t>6</w:t>
            </w:r>
            <w:r w:rsidRPr="004D4EF2">
              <w:rPr>
                <w:rFonts w:asciiTheme="minorBidi" w:hAnsiTheme="minorBidi" w:cstheme="minorBidi"/>
                <w:b/>
                <w:bCs/>
                <w:sz w:val="18"/>
                <w:szCs w:val="18"/>
                <w:lang w:val="en-US"/>
              </w:rPr>
              <w:t xml:space="preserve"> – IOC Communication strategy to be presented at </w:t>
            </w:r>
            <w:r w:rsidR="00920C6B" w:rsidRPr="004D4EF2">
              <w:rPr>
                <w:rFonts w:asciiTheme="minorBidi" w:hAnsiTheme="minorBidi" w:cstheme="minorBidi"/>
                <w:b/>
                <w:bCs/>
                <w:sz w:val="18"/>
                <w:szCs w:val="18"/>
                <w:lang w:val="en-US"/>
              </w:rPr>
              <w:t>EC-5</w:t>
            </w:r>
            <w:r w:rsidR="00817F58" w:rsidRPr="004D4EF2">
              <w:rPr>
                <w:rFonts w:asciiTheme="minorBidi" w:hAnsiTheme="minorBidi" w:cstheme="minorBidi"/>
                <w:b/>
                <w:bCs/>
                <w:sz w:val="18"/>
                <w:szCs w:val="18"/>
                <w:lang w:val="en-US"/>
              </w:rPr>
              <w:t>9</w:t>
            </w:r>
          </w:p>
        </w:tc>
      </w:tr>
      <w:tr w:rsidR="00D57353" w:rsidRPr="00CA61A9" w14:paraId="696EC008" w14:textId="77777777" w:rsidTr="00D57353">
        <w:tc>
          <w:tcPr>
            <w:tcW w:w="3025" w:type="dxa"/>
            <w:vMerge/>
          </w:tcPr>
          <w:p w14:paraId="3E1E5CA4" w14:textId="77777777" w:rsidR="00D57353" w:rsidRPr="00CA61A9" w:rsidRDefault="00D57353" w:rsidP="00A24069">
            <w:pPr>
              <w:spacing w:before="120"/>
              <w:rPr>
                <w:rFonts w:asciiTheme="minorBidi" w:hAnsiTheme="minorBidi" w:cstheme="minorBidi"/>
                <w:sz w:val="18"/>
                <w:szCs w:val="18"/>
              </w:rPr>
            </w:pPr>
          </w:p>
        </w:tc>
        <w:tc>
          <w:tcPr>
            <w:tcW w:w="4098" w:type="dxa"/>
          </w:tcPr>
          <w:p w14:paraId="2DD4DEAA"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5.3 Produce an annual or bi-annual bulletin on the Commission’s “Top Outcomes” which highlights its major achievements and demonstrates its continued value; </w:t>
            </w:r>
          </w:p>
        </w:tc>
        <w:tc>
          <w:tcPr>
            <w:tcW w:w="3904" w:type="dxa"/>
          </w:tcPr>
          <w:p w14:paraId="5A6EE67D" w14:textId="0E034530"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A proposal for an annual/bi-annual bulletin is currently being developed by the IOC Communications Team and will be submitted to the senior management and for consideration within the framework of the new IOC communication strategy to be develop</w:t>
            </w:r>
            <w:r w:rsidR="00B5375D">
              <w:rPr>
                <w:rFonts w:asciiTheme="minorBidi" w:hAnsiTheme="minorBidi" w:cstheme="minorBidi"/>
                <w:sz w:val="18"/>
                <w:szCs w:val="18"/>
              </w:rPr>
              <w:t>ed</w:t>
            </w:r>
            <w:r w:rsidRPr="00CA61A9">
              <w:rPr>
                <w:rFonts w:asciiTheme="minorBidi" w:hAnsiTheme="minorBidi" w:cstheme="minorBidi"/>
                <w:sz w:val="18"/>
                <w:szCs w:val="18"/>
              </w:rPr>
              <w:t xml:space="preserve"> in 2025.</w:t>
            </w:r>
          </w:p>
        </w:tc>
        <w:tc>
          <w:tcPr>
            <w:tcW w:w="1727" w:type="dxa"/>
          </w:tcPr>
          <w:p w14:paraId="6B8D353B"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IOC Communications Team</w:t>
            </w:r>
          </w:p>
        </w:tc>
        <w:tc>
          <w:tcPr>
            <w:tcW w:w="1522" w:type="dxa"/>
          </w:tcPr>
          <w:p w14:paraId="234000E3" w14:textId="73564054"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Q</w:t>
            </w:r>
            <w:r w:rsidR="00B5375D">
              <w:rPr>
                <w:rFonts w:asciiTheme="minorBidi" w:hAnsiTheme="minorBidi" w:cstheme="minorBidi"/>
                <w:sz w:val="18"/>
                <w:szCs w:val="18"/>
              </w:rPr>
              <w:t>3</w:t>
            </w:r>
            <w:r w:rsidRPr="00CA61A9">
              <w:rPr>
                <w:rFonts w:asciiTheme="minorBidi" w:hAnsiTheme="minorBidi" w:cstheme="minorBidi"/>
                <w:sz w:val="18"/>
                <w:szCs w:val="18"/>
              </w:rPr>
              <w:t xml:space="preserve"> 2025</w:t>
            </w:r>
          </w:p>
        </w:tc>
      </w:tr>
      <w:tr w:rsidR="00D57353" w:rsidRPr="00CA61A9" w14:paraId="760CDF76" w14:textId="77777777" w:rsidTr="00D57353">
        <w:tc>
          <w:tcPr>
            <w:tcW w:w="3025" w:type="dxa"/>
            <w:vMerge/>
          </w:tcPr>
          <w:p w14:paraId="58C9DC41" w14:textId="77777777" w:rsidR="00D57353" w:rsidRPr="00CA61A9" w:rsidRDefault="00D57353" w:rsidP="00A24069">
            <w:pPr>
              <w:spacing w:before="120"/>
              <w:rPr>
                <w:rFonts w:asciiTheme="minorBidi" w:hAnsiTheme="minorBidi" w:cstheme="minorBidi"/>
                <w:sz w:val="18"/>
                <w:szCs w:val="18"/>
              </w:rPr>
            </w:pPr>
          </w:p>
        </w:tc>
        <w:tc>
          <w:tcPr>
            <w:tcW w:w="4098" w:type="dxa"/>
          </w:tcPr>
          <w:p w14:paraId="5313924A"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5.4. Clarify IOC’s Logo Policy to ensure that the Commission has a consistent brand;</w:t>
            </w:r>
          </w:p>
        </w:tc>
        <w:tc>
          <w:tcPr>
            <w:tcW w:w="3904" w:type="dxa"/>
          </w:tcPr>
          <w:p w14:paraId="30DFF135"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This process has been partially completed by means of IOC applying throughout its programmes, regional bodies and various projects the UNESCO Brand Guidelines, approved by the UNESCO Executive Board and General Conference. The unified UNESCO policy establishes a specific logo for IOC/UNESCO (necessary to reinforce the Commission’s brand among its core </w:t>
            </w:r>
            <w:r w:rsidRPr="00CA61A9">
              <w:rPr>
                <w:rFonts w:asciiTheme="minorBidi" w:hAnsiTheme="minorBidi" w:cstheme="minorBidi"/>
                <w:sz w:val="18"/>
                <w:szCs w:val="18"/>
              </w:rPr>
              <w:lastRenderedPageBreak/>
              <w:t>communities and Member States) that is nevertheless completely in coherence with the overarching UNESCO brand guidelines, colour palette and logo use policy. The policy applies to print and digital documents; social media; programme and projects’ communication; partnerships; and for branding around specific events. The logo policy documents can be requested by Member States directly from UNESCO/CPE. The next step will be to develop and implement guidelines for the branding of IOC programmes, subsidiary bodies, and projects in accordance with the overall logo policy,</w:t>
            </w:r>
          </w:p>
        </w:tc>
        <w:tc>
          <w:tcPr>
            <w:tcW w:w="1727" w:type="dxa"/>
          </w:tcPr>
          <w:p w14:paraId="1A354D4E"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lastRenderedPageBreak/>
              <w:t>ES and IOC Communications Team</w:t>
            </w:r>
          </w:p>
        </w:tc>
        <w:tc>
          <w:tcPr>
            <w:tcW w:w="1522" w:type="dxa"/>
          </w:tcPr>
          <w:p w14:paraId="09E37504" w14:textId="1EC30E75" w:rsidR="00D57353" w:rsidRPr="004D4EF2" w:rsidRDefault="00D57353"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Q</w:t>
            </w:r>
            <w:r w:rsidR="00B5375D" w:rsidRPr="004D4EF2">
              <w:rPr>
                <w:rFonts w:asciiTheme="minorBidi" w:hAnsiTheme="minorBidi" w:cstheme="minorBidi"/>
                <w:b/>
                <w:bCs/>
                <w:sz w:val="18"/>
                <w:szCs w:val="18"/>
              </w:rPr>
              <w:t>3</w:t>
            </w:r>
            <w:r w:rsidRPr="004D4EF2">
              <w:rPr>
                <w:rFonts w:asciiTheme="minorBidi" w:hAnsiTheme="minorBidi" w:cstheme="minorBidi"/>
                <w:b/>
                <w:bCs/>
                <w:sz w:val="18"/>
                <w:szCs w:val="18"/>
              </w:rPr>
              <w:t xml:space="preserve"> 2025</w:t>
            </w:r>
          </w:p>
        </w:tc>
      </w:tr>
      <w:tr w:rsidR="00D57353" w:rsidRPr="00CA61A9" w14:paraId="2DDD93F0" w14:textId="77777777" w:rsidTr="00D57353">
        <w:tc>
          <w:tcPr>
            <w:tcW w:w="3025" w:type="dxa"/>
            <w:vMerge w:val="restart"/>
          </w:tcPr>
          <w:p w14:paraId="66E596DE" w14:textId="77777777" w:rsidR="00D57353" w:rsidRPr="00CA61A9" w:rsidRDefault="00D57353" w:rsidP="00A24069">
            <w:pPr>
              <w:spacing w:before="120"/>
              <w:rPr>
                <w:rFonts w:asciiTheme="minorBidi" w:hAnsiTheme="minorBidi" w:cstheme="minorBidi"/>
                <w:i/>
                <w:sz w:val="18"/>
                <w:szCs w:val="18"/>
              </w:rPr>
            </w:pPr>
            <w:r w:rsidRPr="00CA61A9">
              <w:rPr>
                <w:rFonts w:asciiTheme="minorBidi" w:hAnsiTheme="minorBidi" w:cstheme="minorBidi"/>
                <w:b/>
                <w:bCs/>
                <w:iCs/>
                <w:sz w:val="18"/>
                <w:szCs w:val="18"/>
              </w:rPr>
              <w:t>Recommendation 6</w:t>
            </w:r>
            <w:r w:rsidRPr="00CA61A9">
              <w:rPr>
                <w:rFonts w:asciiTheme="minorBidi" w:hAnsiTheme="minorBidi" w:cstheme="minorBidi"/>
                <w:iCs/>
                <w:sz w:val="18"/>
                <w:szCs w:val="18"/>
              </w:rPr>
              <w:t>:</w:t>
            </w:r>
          </w:p>
          <w:p w14:paraId="10D9BD29" w14:textId="77777777" w:rsidR="00D57353" w:rsidRPr="00CA61A9" w:rsidRDefault="00D57353" w:rsidP="00A24069">
            <w:pPr>
              <w:spacing w:before="120"/>
              <w:rPr>
                <w:rFonts w:asciiTheme="minorBidi" w:hAnsiTheme="minorBidi" w:cstheme="minorBidi"/>
                <w:sz w:val="18"/>
                <w:szCs w:val="18"/>
              </w:rPr>
            </w:pPr>
            <w:r w:rsidRPr="00CA61A9">
              <w:rPr>
                <w:rFonts w:asciiTheme="minorBidi" w:eastAsia="SimSun" w:hAnsiTheme="minorBidi" w:cstheme="minorBidi"/>
                <w:color w:val="000000" w:themeColor="text1"/>
                <w:sz w:val="18"/>
                <w:szCs w:val="18"/>
              </w:rPr>
              <w:t xml:space="preserve">By June 2022 – Assume a leadership role </w:t>
            </w:r>
            <w:proofErr w:type="gramStart"/>
            <w:r w:rsidRPr="00CA61A9">
              <w:rPr>
                <w:rFonts w:asciiTheme="minorBidi" w:eastAsia="SimSun" w:hAnsiTheme="minorBidi" w:cstheme="minorBidi"/>
                <w:color w:val="000000" w:themeColor="text1"/>
                <w:sz w:val="18"/>
                <w:szCs w:val="18"/>
              </w:rPr>
              <w:t>in the area of</w:t>
            </w:r>
            <w:proofErr w:type="gramEnd"/>
            <w:r w:rsidRPr="00CA61A9">
              <w:rPr>
                <w:rFonts w:asciiTheme="minorBidi" w:eastAsia="SimSun" w:hAnsiTheme="minorBidi" w:cstheme="minorBidi"/>
                <w:color w:val="000000" w:themeColor="text1"/>
                <w:sz w:val="18"/>
                <w:szCs w:val="18"/>
              </w:rPr>
              <w:t xml:space="preserve"> gender equality and women’s empowerment in marine science, supporting its existing data efforts such as the Global Ocean Science Report with dedicated action</w:t>
            </w:r>
          </w:p>
        </w:tc>
        <w:tc>
          <w:tcPr>
            <w:tcW w:w="4098" w:type="dxa"/>
          </w:tcPr>
          <w:p w14:paraId="0C3A80B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6.1 Request the advice of the UNESCO Division for Gender Equality to develop Gender Guidelines for IOC expert committees and other bodies, as applicable. </w:t>
            </w:r>
          </w:p>
        </w:tc>
        <w:tc>
          <w:tcPr>
            <w:tcW w:w="3904" w:type="dxa"/>
          </w:tcPr>
          <w:p w14:paraId="3B680C59" w14:textId="27B00088" w:rsidR="00D57353" w:rsidRPr="004D4EF2" w:rsidRDefault="008E2E08" w:rsidP="00A24069">
            <w:pPr>
              <w:spacing w:before="120"/>
              <w:rPr>
                <w:rFonts w:asciiTheme="minorBidi" w:hAnsiTheme="minorBidi" w:cstheme="minorBidi"/>
                <w:b/>
                <w:bCs/>
                <w:sz w:val="18"/>
                <w:szCs w:val="18"/>
                <w:lang w:val="en-US"/>
              </w:rPr>
            </w:pPr>
            <w:r w:rsidRPr="004D4EF2">
              <w:rPr>
                <w:rFonts w:asciiTheme="minorBidi" w:hAnsiTheme="minorBidi" w:cstheme="minorBidi"/>
                <w:b/>
                <w:bCs/>
                <w:sz w:val="18"/>
                <w:szCs w:val="18"/>
                <w:lang w:val="en-US"/>
              </w:rPr>
              <w:t>Document INF</w:t>
            </w:r>
            <w:r w:rsidR="00F57210" w:rsidRPr="004D4EF2">
              <w:rPr>
                <w:rFonts w:asciiTheme="minorBidi" w:hAnsiTheme="minorBidi" w:cstheme="minorBidi"/>
                <w:b/>
                <w:bCs/>
                <w:sz w:val="18"/>
                <w:szCs w:val="18"/>
                <w:lang w:val="en-US"/>
              </w:rPr>
              <w:t>-1547</w:t>
            </w:r>
            <w:r w:rsidRPr="004D4EF2">
              <w:rPr>
                <w:rFonts w:asciiTheme="minorBidi" w:hAnsiTheme="minorBidi" w:cstheme="minorBidi"/>
                <w:b/>
                <w:bCs/>
                <w:sz w:val="18"/>
                <w:szCs w:val="18"/>
                <w:lang w:val="en-US"/>
              </w:rPr>
              <w:t xml:space="preserve"> presented to the Assembly und</w:t>
            </w:r>
            <w:r w:rsidR="000D34B5" w:rsidRPr="004D4EF2">
              <w:rPr>
                <w:rFonts w:asciiTheme="minorBidi" w:hAnsiTheme="minorBidi" w:cstheme="minorBidi"/>
                <w:b/>
                <w:bCs/>
                <w:sz w:val="18"/>
                <w:szCs w:val="18"/>
                <w:lang w:val="en-US"/>
              </w:rPr>
              <w:t>er this agenda item</w:t>
            </w:r>
          </w:p>
        </w:tc>
        <w:tc>
          <w:tcPr>
            <w:tcW w:w="1727" w:type="dxa"/>
          </w:tcPr>
          <w:p w14:paraId="21AE8A7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IOC Gender Focal Point and EO</w:t>
            </w:r>
          </w:p>
        </w:tc>
        <w:tc>
          <w:tcPr>
            <w:tcW w:w="1522" w:type="dxa"/>
          </w:tcPr>
          <w:p w14:paraId="400228A2" w14:textId="69147626" w:rsidR="00D57353" w:rsidRPr="00CA61A9" w:rsidRDefault="00767304" w:rsidP="00A24069">
            <w:pPr>
              <w:spacing w:before="120"/>
              <w:rPr>
                <w:rFonts w:asciiTheme="minorBidi" w:hAnsiTheme="minorBidi" w:cstheme="minorBidi"/>
                <w:sz w:val="18"/>
                <w:szCs w:val="18"/>
              </w:rPr>
            </w:pPr>
            <w:r w:rsidRPr="007C39AC">
              <w:rPr>
                <w:rFonts w:asciiTheme="minorBidi" w:hAnsiTheme="minorBidi" w:cstheme="minorBidi"/>
                <w:b/>
                <w:bCs/>
                <w:sz w:val="18"/>
                <w:szCs w:val="18"/>
              </w:rPr>
              <w:t>Completed</w:t>
            </w:r>
            <w:r>
              <w:rPr>
                <w:rFonts w:asciiTheme="minorBidi" w:hAnsiTheme="minorBidi" w:cstheme="minorBidi"/>
                <w:sz w:val="18"/>
                <w:szCs w:val="18"/>
              </w:rPr>
              <w:t xml:space="preserve"> </w:t>
            </w:r>
          </w:p>
        </w:tc>
      </w:tr>
      <w:tr w:rsidR="00D57353" w:rsidRPr="00CA61A9" w14:paraId="304FD0A3" w14:textId="77777777" w:rsidTr="00D57353">
        <w:tc>
          <w:tcPr>
            <w:tcW w:w="3025" w:type="dxa"/>
            <w:vMerge/>
          </w:tcPr>
          <w:p w14:paraId="288123CC" w14:textId="77777777" w:rsidR="00D57353" w:rsidRPr="00CA61A9" w:rsidRDefault="00D57353" w:rsidP="00A24069">
            <w:pPr>
              <w:spacing w:before="120"/>
              <w:rPr>
                <w:rFonts w:asciiTheme="minorBidi" w:hAnsiTheme="minorBidi" w:cstheme="minorBidi"/>
                <w:sz w:val="18"/>
                <w:szCs w:val="18"/>
              </w:rPr>
            </w:pPr>
          </w:p>
        </w:tc>
        <w:tc>
          <w:tcPr>
            <w:tcW w:w="4098" w:type="dxa"/>
          </w:tcPr>
          <w:p w14:paraId="7D47192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6.2 Continue to encourage IOC Member States to ensure gender equality in their delegations to IOC governing bodies. Provide statistics after each session to monitor progress.</w:t>
            </w:r>
          </w:p>
        </w:tc>
        <w:tc>
          <w:tcPr>
            <w:tcW w:w="3904" w:type="dxa"/>
          </w:tcPr>
          <w:p w14:paraId="2B9C06E4" w14:textId="77A9EA28" w:rsidR="00D57353" w:rsidRPr="004D4EF2" w:rsidRDefault="000D34B5"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Considered </w:t>
            </w:r>
            <w:r w:rsidR="00BB6CBA" w:rsidRPr="004D4EF2">
              <w:rPr>
                <w:rFonts w:asciiTheme="minorBidi" w:hAnsiTheme="minorBidi" w:cstheme="minorBidi"/>
                <w:b/>
                <w:bCs/>
                <w:sz w:val="18"/>
                <w:szCs w:val="18"/>
              </w:rPr>
              <w:t xml:space="preserve">as closed </w:t>
            </w:r>
            <w:r w:rsidRPr="004D4EF2">
              <w:rPr>
                <w:rFonts w:asciiTheme="minorBidi" w:hAnsiTheme="minorBidi" w:cstheme="minorBidi"/>
                <w:b/>
                <w:bCs/>
                <w:sz w:val="18"/>
                <w:szCs w:val="18"/>
              </w:rPr>
              <w:t>by the 32</w:t>
            </w:r>
            <w:r w:rsidR="00BB6CBA" w:rsidRPr="004D4EF2">
              <w:rPr>
                <w:rFonts w:asciiTheme="minorBidi" w:hAnsiTheme="minorBidi" w:cstheme="minorBidi"/>
                <w:b/>
                <w:bCs/>
                <w:sz w:val="18"/>
                <w:szCs w:val="18"/>
              </w:rPr>
              <w:t>n</w:t>
            </w:r>
            <w:r w:rsidRPr="004D4EF2">
              <w:rPr>
                <w:rFonts w:asciiTheme="minorBidi" w:hAnsiTheme="minorBidi" w:cstheme="minorBidi"/>
                <w:b/>
                <w:bCs/>
                <w:sz w:val="18"/>
                <w:szCs w:val="18"/>
              </w:rPr>
              <w:t>d session of the Assembly</w:t>
            </w:r>
            <w:r w:rsidR="00696CA6" w:rsidRPr="004D4EF2">
              <w:rPr>
                <w:rFonts w:asciiTheme="minorBidi" w:hAnsiTheme="minorBidi" w:cstheme="minorBidi"/>
                <w:b/>
                <w:bCs/>
                <w:sz w:val="18"/>
                <w:szCs w:val="18"/>
              </w:rPr>
              <w:t>.</w:t>
            </w:r>
          </w:p>
        </w:tc>
        <w:tc>
          <w:tcPr>
            <w:tcW w:w="1727" w:type="dxa"/>
          </w:tcPr>
          <w:p w14:paraId="1BC1351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IOC Gender Focal Point and EO</w:t>
            </w:r>
          </w:p>
        </w:tc>
        <w:tc>
          <w:tcPr>
            <w:tcW w:w="1522" w:type="dxa"/>
          </w:tcPr>
          <w:p w14:paraId="5E1D97A7" w14:textId="4CC2C400" w:rsidR="00D57353" w:rsidRPr="00CA61A9" w:rsidRDefault="00D57353" w:rsidP="00A24069">
            <w:pPr>
              <w:spacing w:before="120"/>
              <w:rPr>
                <w:rFonts w:asciiTheme="minorBidi" w:hAnsiTheme="minorBidi" w:cstheme="minorBidi"/>
                <w:sz w:val="18"/>
                <w:szCs w:val="18"/>
              </w:rPr>
            </w:pPr>
            <w:r w:rsidRPr="007C39AC">
              <w:rPr>
                <w:rFonts w:asciiTheme="minorBidi" w:hAnsiTheme="minorBidi" w:cstheme="minorBidi"/>
                <w:b/>
                <w:bCs/>
                <w:sz w:val="18"/>
                <w:szCs w:val="18"/>
              </w:rPr>
              <w:t>Completed</w:t>
            </w:r>
          </w:p>
        </w:tc>
      </w:tr>
      <w:tr w:rsidR="00D57353" w:rsidRPr="00CA61A9" w14:paraId="629591A6" w14:textId="77777777" w:rsidTr="00D57353">
        <w:tc>
          <w:tcPr>
            <w:tcW w:w="3025" w:type="dxa"/>
            <w:vMerge/>
          </w:tcPr>
          <w:p w14:paraId="0103D76F" w14:textId="77777777" w:rsidR="00D57353" w:rsidRPr="00CA61A9" w:rsidRDefault="00D57353" w:rsidP="00A24069">
            <w:pPr>
              <w:spacing w:before="120"/>
              <w:rPr>
                <w:rFonts w:asciiTheme="minorBidi" w:hAnsiTheme="minorBidi" w:cstheme="minorBidi"/>
                <w:sz w:val="18"/>
                <w:szCs w:val="18"/>
              </w:rPr>
            </w:pPr>
          </w:p>
        </w:tc>
        <w:tc>
          <w:tcPr>
            <w:tcW w:w="4098" w:type="dxa"/>
          </w:tcPr>
          <w:p w14:paraId="0B6C651D"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6.3 Institute a working group (to include gender experts from the Commission’s UN-Oceans counterparts as well as UNESCO), to develop a roadmap through which gender equality can be better mainstreamed throughout the Ocean Decade; </w:t>
            </w:r>
          </w:p>
        </w:tc>
        <w:tc>
          <w:tcPr>
            <w:tcW w:w="3904" w:type="dxa"/>
          </w:tcPr>
          <w:p w14:paraId="586FCE52" w14:textId="4C88EC0E" w:rsidR="00D57353" w:rsidRPr="004D4EF2" w:rsidRDefault="00D061B7"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Ocean Decade Gender </w:t>
            </w:r>
            <w:r w:rsidR="00D57353" w:rsidRPr="004D4EF2">
              <w:rPr>
                <w:rFonts w:asciiTheme="minorBidi" w:hAnsiTheme="minorBidi" w:cstheme="minorBidi"/>
                <w:b/>
                <w:bCs/>
                <w:sz w:val="18"/>
                <w:szCs w:val="18"/>
              </w:rPr>
              <w:t xml:space="preserve">Working Group </w:t>
            </w:r>
            <w:r w:rsidRPr="004D4EF2">
              <w:rPr>
                <w:rFonts w:asciiTheme="minorBidi" w:hAnsiTheme="minorBidi" w:cstheme="minorBidi"/>
                <w:b/>
                <w:bCs/>
                <w:sz w:val="18"/>
                <w:szCs w:val="18"/>
              </w:rPr>
              <w:t xml:space="preserve">has been </w:t>
            </w:r>
            <w:r w:rsidR="00D57353" w:rsidRPr="004D4EF2">
              <w:rPr>
                <w:rFonts w:asciiTheme="minorBidi" w:hAnsiTheme="minorBidi" w:cstheme="minorBidi"/>
                <w:b/>
                <w:bCs/>
                <w:sz w:val="18"/>
                <w:szCs w:val="18"/>
              </w:rPr>
              <w:t xml:space="preserve">established </w:t>
            </w:r>
            <w:r w:rsidR="00001C51" w:rsidRPr="004D4EF2">
              <w:rPr>
                <w:rFonts w:asciiTheme="minorBidi" w:hAnsiTheme="minorBidi" w:cstheme="minorBidi"/>
                <w:b/>
                <w:bCs/>
                <w:sz w:val="18"/>
                <w:szCs w:val="18"/>
              </w:rPr>
              <w:t xml:space="preserve">and started its work </w:t>
            </w:r>
            <w:r w:rsidR="00D57353" w:rsidRPr="004D4EF2">
              <w:rPr>
                <w:rFonts w:asciiTheme="minorBidi" w:hAnsiTheme="minorBidi" w:cstheme="minorBidi"/>
                <w:b/>
                <w:bCs/>
                <w:sz w:val="18"/>
                <w:szCs w:val="18"/>
              </w:rPr>
              <w:t xml:space="preserve">to develop an Ocean Decade gender roadmap on basis of priority outcomes of Vision 2030 process. </w:t>
            </w:r>
            <w:r w:rsidR="00001C51" w:rsidRPr="004D4EF2">
              <w:rPr>
                <w:rFonts w:asciiTheme="minorBidi" w:hAnsiTheme="minorBidi" w:cstheme="minorBidi"/>
                <w:b/>
                <w:bCs/>
                <w:sz w:val="18"/>
                <w:szCs w:val="18"/>
              </w:rPr>
              <w:t>Progress to be reported to IOC Governing Bodies.</w:t>
            </w:r>
          </w:p>
        </w:tc>
        <w:tc>
          <w:tcPr>
            <w:tcW w:w="1727" w:type="dxa"/>
          </w:tcPr>
          <w:p w14:paraId="544AFB63"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DCU and IOC Gender Focal Point</w:t>
            </w:r>
          </w:p>
        </w:tc>
        <w:tc>
          <w:tcPr>
            <w:tcW w:w="1522" w:type="dxa"/>
          </w:tcPr>
          <w:p w14:paraId="5B9AF428" w14:textId="00216F9B" w:rsidR="00D57353" w:rsidRPr="00001C51" w:rsidRDefault="00001C51" w:rsidP="00A24069">
            <w:pPr>
              <w:spacing w:before="120"/>
              <w:rPr>
                <w:rFonts w:asciiTheme="minorBidi" w:hAnsiTheme="minorBidi" w:cstheme="minorBidi"/>
                <w:b/>
                <w:bCs/>
                <w:sz w:val="18"/>
                <w:szCs w:val="18"/>
              </w:rPr>
            </w:pPr>
            <w:r w:rsidRPr="00001C51">
              <w:rPr>
                <w:rFonts w:asciiTheme="minorBidi" w:hAnsiTheme="minorBidi" w:cstheme="minorBidi"/>
                <w:b/>
                <w:bCs/>
                <w:sz w:val="18"/>
                <w:szCs w:val="18"/>
              </w:rPr>
              <w:t>Completed</w:t>
            </w:r>
          </w:p>
        </w:tc>
      </w:tr>
      <w:tr w:rsidR="00D57353" w:rsidRPr="00CA61A9" w14:paraId="1DD98964" w14:textId="77777777" w:rsidTr="00D57353">
        <w:tc>
          <w:tcPr>
            <w:tcW w:w="3025" w:type="dxa"/>
            <w:vMerge/>
          </w:tcPr>
          <w:p w14:paraId="1F017575" w14:textId="77777777" w:rsidR="00D57353" w:rsidRPr="00CA61A9" w:rsidRDefault="00D57353" w:rsidP="00A24069">
            <w:pPr>
              <w:spacing w:before="120"/>
              <w:rPr>
                <w:rFonts w:asciiTheme="minorBidi" w:hAnsiTheme="minorBidi" w:cstheme="minorBidi"/>
                <w:sz w:val="18"/>
                <w:szCs w:val="18"/>
              </w:rPr>
            </w:pPr>
          </w:p>
        </w:tc>
        <w:tc>
          <w:tcPr>
            <w:tcW w:w="4098" w:type="dxa"/>
          </w:tcPr>
          <w:p w14:paraId="1603CF6A"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 xml:space="preserve">6.4. Scope out partners that may be interested in supporting a Women in Ocean Science Award, including through UN Global Compact; </w:t>
            </w:r>
          </w:p>
        </w:tc>
        <w:tc>
          <w:tcPr>
            <w:tcW w:w="3904" w:type="dxa"/>
          </w:tcPr>
          <w:p w14:paraId="2B38DB0B" w14:textId="203A8FDB" w:rsidR="00D57353" w:rsidRPr="004D4EF2" w:rsidRDefault="00EF7324" w:rsidP="00A24069">
            <w:pPr>
              <w:spacing w:before="120"/>
              <w:rPr>
                <w:rFonts w:asciiTheme="minorBidi" w:hAnsiTheme="minorBidi" w:cstheme="minorBidi"/>
                <w:b/>
                <w:bCs/>
                <w:sz w:val="18"/>
                <w:szCs w:val="18"/>
              </w:rPr>
            </w:pPr>
            <w:r w:rsidRPr="004D4EF2">
              <w:rPr>
                <w:rFonts w:asciiTheme="minorBidi" w:hAnsiTheme="minorBidi" w:cstheme="minorBidi"/>
                <w:b/>
                <w:bCs/>
                <w:sz w:val="18"/>
                <w:szCs w:val="18"/>
              </w:rPr>
              <w:t xml:space="preserve">Secretariat’s </w:t>
            </w:r>
            <w:r w:rsidR="002031C3" w:rsidRPr="004D4EF2">
              <w:rPr>
                <w:rFonts w:asciiTheme="minorBidi" w:hAnsiTheme="minorBidi" w:cstheme="minorBidi"/>
                <w:b/>
                <w:bCs/>
                <w:sz w:val="18"/>
                <w:szCs w:val="18"/>
              </w:rPr>
              <w:t>proposal</w:t>
            </w:r>
            <w:r w:rsidR="00A42E72" w:rsidRPr="004D4EF2">
              <w:rPr>
                <w:rFonts w:asciiTheme="minorBidi" w:hAnsiTheme="minorBidi" w:cstheme="minorBidi"/>
                <w:b/>
                <w:bCs/>
                <w:sz w:val="18"/>
                <w:szCs w:val="18"/>
              </w:rPr>
              <w:t xml:space="preserve"> is to</w:t>
            </w:r>
            <w:r w:rsidR="00C26E0B" w:rsidRPr="004D4EF2">
              <w:rPr>
                <w:rFonts w:asciiTheme="minorBidi" w:hAnsiTheme="minorBidi" w:cstheme="minorBidi"/>
                <w:b/>
                <w:bCs/>
                <w:sz w:val="18"/>
                <w:szCs w:val="18"/>
              </w:rPr>
              <w:t xml:space="preserve"> consider</w:t>
            </w:r>
            <w:r w:rsidR="00A7126E" w:rsidRPr="004D4EF2">
              <w:rPr>
                <w:rFonts w:asciiTheme="minorBidi" w:hAnsiTheme="minorBidi" w:cstheme="minorBidi"/>
                <w:b/>
                <w:bCs/>
                <w:sz w:val="18"/>
                <w:szCs w:val="18"/>
              </w:rPr>
              <w:t xml:space="preserve"> th</w:t>
            </w:r>
            <w:r w:rsidR="00B5375D" w:rsidRPr="004D4EF2">
              <w:rPr>
                <w:rFonts w:asciiTheme="minorBidi" w:hAnsiTheme="minorBidi" w:cstheme="minorBidi"/>
                <w:b/>
                <w:bCs/>
                <w:sz w:val="18"/>
                <w:szCs w:val="18"/>
              </w:rPr>
              <w:t>is recommendation</w:t>
            </w:r>
            <w:r w:rsidR="00C26E0B" w:rsidRPr="004D4EF2">
              <w:rPr>
                <w:rFonts w:asciiTheme="minorBidi" w:hAnsiTheme="minorBidi" w:cstheme="minorBidi"/>
                <w:b/>
                <w:bCs/>
                <w:sz w:val="18"/>
                <w:szCs w:val="18"/>
              </w:rPr>
              <w:t xml:space="preserve"> as completed in the context of this Action Plan</w:t>
            </w:r>
            <w:r w:rsidR="0082522A" w:rsidRPr="004D4EF2">
              <w:rPr>
                <w:rFonts w:asciiTheme="minorBidi" w:hAnsiTheme="minorBidi" w:cstheme="minorBidi"/>
                <w:b/>
                <w:bCs/>
                <w:sz w:val="18"/>
                <w:szCs w:val="18"/>
              </w:rPr>
              <w:t xml:space="preserve">. The </w:t>
            </w:r>
            <w:r w:rsidR="005A2DDE" w:rsidRPr="004D4EF2">
              <w:rPr>
                <w:rFonts w:asciiTheme="minorBidi" w:hAnsiTheme="minorBidi" w:cstheme="minorBidi"/>
                <w:b/>
                <w:bCs/>
                <w:sz w:val="18"/>
                <w:szCs w:val="18"/>
              </w:rPr>
              <w:t xml:space="preserve">issue </w:t>
            </w:r>
            <w:r w:rsidR="00C26E0B" w:rsidRPr="004D4EF2">
              <w:rPr>
                <w:rFonts w:asciiTheme="minorBidi" w:hAnsiTheme="minorBidi" w:cstheme="minorBidi"/>
                <w:b/>
                <w:bCs/>
                <w:sz w:val="18"/>
                <w:szCs w:val="18"/>
              </w:rPr>
              <w:t>of the best way to mainstream GE will be</w:t>
            </w:r>
            <w:r w:rsidR="005A2DDE" w:rsidRPr="004D4EF2">
              <w:rPr>
                <w:rFonts w:asciiTheme="minorBidi" w:hAnsiTheme="minorBidi" w:cstheme="minorBidi"/>
                <w:b/>
                <w:bCs/>
                <w:sz w:val="18"/>
                <w:szCs w:val="18"/>
              </w:rPr>
              <w:t xml:space="preserve"> covered by the </w:t>
            </w:r>
            <w:r w:rsidR="002031C3" w:rsidRPr="004D4EF2">
              <w:rPr>
                <w:rFonts w:asciiTheme="minorBidi" w:hAnsiTheme="minorBidi" w:cstheme="minorBidi"/>
                <w:b/>
                <w:bCs/>
                <w:sz w:val="18"/>
                <w:szCs w:val="18"/>
              </w:rPr>
              <w:t>Decade GE Roadma</w:t>
            </w:r>
            <w:r w:rsidR="0082522A" w:rsidRPr="004D4EF2">
              <w:rPr>
                <w:rFonts w:asciiTheme="minorBidi" w:hAnsiTheme="minorBidi" w:cstheme="minorBidi"/>
                <w:b/>
                <w:bCs/>
                <w:sz w:val="18"/>
                <w:szCs w:val="18"/>
              </w:rPr>
              <w:t>p and reported on</w:t>
            </w:r>
            <w:r w:rsidR="00D4398D" w:rsidRPr="004D4EF2">
              <w:rPr>
                <w:rFonts w:asciiTheme="minorBidi" w:hAnsiTheme="minorBidi" w:cstheme="minorBidi"/>
                <w:b/>
                <w:bCs/>
                <w:sz w:val="18"/>
                <w:szCs w:val="18"/>
              </w:rPr>
              <w:t xml:space="preserve"> to the IOC Governing Bodies in that context.</w:t>
            </w:r>
          </w:p>
        </w:tc>
        <w:tc>
          <w:tcPr>
            <w:tcW w:w="1727" w:type="dxa"/>
          </w:tcPr>
          <w:p w14:paraId="3F37FE0D" w14:textId="6762FC3F" w:rsidR="00D57353" w:rsidRPr="00CA61A9" w:rsidRDefault="00D57353" w:rsidP="00A24069">
            <w:pPr>
              <w:spacing w:before="120"/>
              <w:rPr>
                <w:rFonts w:asciiTheme="minorBidi" w:hAnsiTheme="minorBidi" w:cstheme="minorBidi"/>
                <w:sz w:val="18"/>
                <w:szCs w:val="18"/>
              </w:rPr>
            </w:pPr>
          </w:p>
        </w:tc>
        <w:tc>
          <w:tcPr>
            <w:tcW w:w="1522" w:type="dxa"/>
          </w:tcPr>
          <w:p w14:paraId="621A1662" w14:textId="7C3304AF" w:rsidR="00D57353" w:rsidRPr="00C26E0B" w:rsidRDefault="00C26E0B" w:rsidP="00A24069">
            <w:pPr>
              <w:spacing w:before="120"/>
              <w:rPr>
                <w:rFonts w:asciiTheme="minorBidi" w:hAnsiTheme="minorBidi" w:cstheme="minorBidi"/>
                <w:b/>
                <w:bCs/>
                <w:sz w:val="18"/>
                <w:szCs w:val="18"/>
              </w:rPr>
            </w:pPr>
            <w:r w:rsidRPr="00C26E0B">
              <w:rPr>
                <w:rFonts w:asciiTheme="minorBidi" w:hAnsiTheme="minorBidi" w:cstheme="minorBidi"/>
                <w:b/>
                <w:bCs/>
                <w:sz w:val="18"/>
                <w:szCs w:val="18"/>
              </w:rPr>
              <w:t>Completed</w:t>
            </w:r>
          </w:p>
        </w:tc>
      </w:tr>
      <w:tr w:rsidR="00D57353" w:rsidRPr="00CA61A9" w14:paraId="3DED964C" w14:textId="77777777" w:rsidTr="00D57353">
        <w:tc>
          <w:tcPr>
            <w:tcW w:w="3025" w:type="dxa"/>
            <w:vMerge/>
          </w:tcPr>
          <w:p w14:paraId="3D78885C" w14:textId="77777777" w:rsidR="00D57353" w:rsidRPr="00CA61A9" w:rsidRDefault="00D57353" w:rsidP="00A24069">
            <w:pPr>
              <w:spacing w:before="120"/>
              <w:rPr>
                <w:rFonts w:asciiTheme="minorBidi" w:hAnsiTheme="minorBidi" w:cstheme="minorBidi"/>
                <w:sz w:val="18"/>
                <w:szCs w:val="18"/>
              </w:rPr>
            </w:pPr>
          </w:p>
        </w:tc>
        <w:tc>
          <w:tcPr>
            <w:tcW w:w="4098" w:type="dxa"/>
          </w:tcPr>
          <w:p w14:paraId="541412C1"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6.5. Work with HR experts to target qualified female candidates for senior management positions within the Commission and to improve geographical distribution.</w:t>
            </w:r>
          </w:p>
        </w:tc>
        <w:tc>
          <w:tcPr>
            <w:tcW w:w="3904" w:type="dxa"/>
          </w:tcPr>
          <w:p w14:paraId="21204E15" w14:textId="3516C762" w:rsidR="00D57353" w:rsidRPr="004D4EF2" w:rsidRDefault="000E09A5" w:rsidP="00A24069">
            <w:pPr>
              <w:spacing w:before="120"/>
              <w:rPr>
                <w:rFonts w:asciiTheme="minorBidi" w:hAnsiTheme="minorBidi" w:cstheme="minorBidi"/>
                <w:b/>
                <w:bCs/>
                <w:sz w:val="18"/>
                <w:szCs w:val="18"/>
              </w:rPr>
            </w:pPr>
            <w:r>
              <w:rPr>
                <w:rFonts w:asciiTheme="minorBidi" w:hAnsiTheme="minorBidi" w:cstheme="minorBidi"/>
                <w:b/>
                <w:bCs/>
                <w:sz w:val="18"/>
                <w:szCs w:val="18"/>
              </w:rPr>
              <w:t xml:space="preserve">Implemented with two recently hired senior positions. </w:t>
            </w:r>
          </w:p>
        </w:tc>
        <w:tc>
          <w:tcPr>
            <w:tcW w:w="1727" w:type="dxa"/>
          </w:tcPr>
          <w:p w14:paraId="6F60388B" w14:textId="77777777" w:rsidR="00D57353" w:rsidRPr="00CA61A9" w:rsidRDefault="00D57353" w:rsidP="00A24069">
            <w:pPr>
              <w:spacing w:before="120"/>
              <w:rPr>
                <w:rFonts w:asciiTheme="minorBidi" w:hAnsiTheme="minorBidi" w:cstheme="minorBidi"/>
                <w:sz w:val="18"/>
                <w:szCs w:val="18"/>
              </w:rPr>
            </w:pPr>
            <w:r w:rsidRPr="00CA61A9">
              <w:rPr>
                <w:rFonts w:asciiTheme="minorBidi" w:hAnsiTheme="minorBidi" w:cstheme="minorBidi"/>
                <w:sz w:val="18"/>
                <w:szCs w:val="18"/>
              </w:rPr>
              <w:t>ES and EO</w:t>
            </w:r>
          </w:p>
        </w:tc>
        <w:tc>
          <w:tcPr>
            <w:tcW w:w="1522" w:type="dxa"/>
          </w:tcPr>
          <w:p w14:paraId="5966202F" w14:textId="5DCA75BF" w:rsidR="00D57353" w:rsidRPr="00CA61A9" w:rsidRDefault="003D65C9" w:rsidP="00A24069">
            <w:pPr>
              <w:spacing w:before="120"/>
              <w:rPr>
                <w:rFonts w:asciiTheme="minorBidi" w:hAnsiTheme="minorBidi" w:cstheme="minorBidi"/>
                <w:sz w:val="18"/>
                <w:szCs w:val="18"/>
              </w:rPr>
            </w:pPr>
            <w:r w:rsidRPr="007C39AC">
              <w:rPr>
                <w:rFonts w:asciiTheme="minorBidi" w:hAnsiTheme="minorBidi" w:cstheme="minorBidi"/>
                <w:b/>
                <w:bCs/>
                <w:sz w:val="18"/>
                <w:szCs w:val="18"/>
              </w:rPr>
              <w:t>Completed</w:t>
            </w:r>
          </w:p>
        </w:tc>
      </w:tr>
    </w:tbl>
    <w:p w14:paraId="706BD6CF" w14:textId="1EC3BEEF" w:rsidR="00E04B7F" w:rsidRPr="00412106" w:rsidRDefault="005048D1" w:rsidP="00E04B7F">
      <w:pPr>
        <w:pStyle w:val="Marge"/>
        <w:jc w:val="center"/>
        <w:rPr>
          <w:rFonts w:ascii="Arial" w:hAnsi="Arial" w:cs="Arial"/>
          <w:b/>
          <w:bCs/>
          <w:sz w:val="22"/>
          <w:szCs w:val="22"/>
        </w:rPr>
      </w:pPr>
      <w:r>
        <w:rPr>
          <w:rFonts w:ascii="Arial" w:hAnsi="Arial" w:cs="Arial"/>
          <w:b/>
          <w:bCs/>
          <w:sz w:val="22"/>
          <w:szCs w:val="22"/>
        </w:rPr>
        <w:lastRenderedPageBreak/>
        <w:t xml:space="preserve"> </w:t>
      </w:r>
    </w:p>
    <w:sectPr w:rsidR="00E04B7F" w:rsidRPr="00412106" w:rsidSect="00C14F80">
      <w:headerReference w:type="first" r:id="rId19"/>
      <w:pgSz w:w="16838" w:h="11906" w:orient="landscape" w:code="9"/>
      <w:pgMar w:top="1134" w:right="1418"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8821A" w14:textId="77777777" w:rsidR="00091E0F" w:rsidRDefault="00091E0F">
      <w:r>
        <w:separator/>
      </w:r>
    </w:p>
  </w:endnote>
  <w:endnote w:type="continuationSeparator" w:id="0">
    <w:p w14:paraId="5D311A0D" w14:textId="77777777" w:rsidR="00091E0F" w:rsidRDefault="0009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5621" w14:textId="77777777" w:rsidR="00091E0F" w:rsidRDefault="00091E0F">
      <w:r>
        <w:separator/>
      </w:r>
    </w:p>
  </w:footnote>
  <w:footnote w:type="continuationSeparator" w:id="0">
    <w:p w14:paraId="2A8E5739" w14:textId="77777777" w:rsidR="00091E0F" w:rsidRDefault="0009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30A" w14:textId="00A6E2BB" w:rsidR="00F201D9" w:rsidRPr="00FF54F5" w:rsidRDefault="00771277" w:rsidP="00FF54F5">
    <w:pPr>
      <w:pStyle w:val="Header"/>
      <w:rPr>
        <w:rFonts w:ascii="Arial" w:hAnsi="Arial" w:cs="Arial"/>
        <w:bCs/>
        <w:sz w:val="22"/>
        <w:szCs w:val="22"/>
        <w:lang w:val="fr-FR"/>
      </w:rPr>
    </w:pPr>
    <w:r w:rsidRPr="00771277">
      <w:rPr>
        <w:rFonts w:ascii="Arial" w:hAnsi="Arial" w:cs="Arial"/>
        <w:bCs/>
        <w:sz w:val="22"/>
        <w:szCs w:val="22"/>
        <w:lang w:val="fr-FR"/>
      </w:rPr>
      <w:t>IOC</w:t>
    </w:r>
    <w:r w:rsidR="00FD0D40">
      <w:rPr>
        <w:rFonts w:ascii="Arial" w:hAnsi="Arial" w:cs="Arial"/>
        <w:bCs/>
        <w:sz w:val="22"/>
        <w:szCs w:val="22"/>
        <w:lang w:val="fr-FR"/>
      </w:rPr>
      <w:t>/A</w:t>
    </w:r>
    <w:r w:rsidRPr="00771277">
      <w:rPr>
        <w:rFonts w:ascii="Arial" w:hAnsi="Arial" w:cs="Arial"/>
        <w:bCs/>
        <w:sz w:val="22"/>
        <w:szCs w:val="22"/>
        <w:lang w:val="fr-FR"/>
      </w:rPr>
      <w:t>-</w:t>
    </w:r>
    <w:r w:rsidR="00F5653C">
      <w:rPr>
        <w:rFonts w:ascii="Arial" w:hAnsi="Arial" w:cs="Arial"/>
        <w:bCs/>
        <w:sz w:val="22"/>
        <w:szCs w:val="22"/>
        <w:lang w:val="fr-FR"/>
      </w:rPr>
      <w:t>33</w:t>
    </w:r>
    <w:r w:rsidRPr="00771277">
      <w:rPr>
        <w:rFonts w:ascii="Arial" w:hAnsi="Arial" w:cs="Arial"/>
        <w:bCs/>
        <w:sz w:val="22"/>
        <w:szCs w:val="22"/>
        <w:lang w:val="fr-FR"/>
      </w:rPr>
      <w:t>/5.</w:t>
    </w:r>
    <w:proofErr w:type="gramStart"/>
    <w:r w:rsidR="00FD0D40">
      <w:rPr>
        <w:rFonts w:ascii="Arial" w:hAnsi="Arial" w:cs="Arial"/>
        <w:bCs/>
        <w:sz w:val="22"/>
        <w:szCs w:val="22"/>
        <w:lang w:val="fr-FR"/>
      </w:rPr>
      <w:t>3</w:t>
    </w:r>
    <w:r w:rsidRPr="00771277">
      <w:rPr>
        <w:rFonts w:ascii="Arial" w:hAnsi="Arial" w:cs="Arial"/>
        <w:bCs/>
        <w:sz w:val="22"/>
        <w:szCs w:val="22"/>
        <w:lang w:val="fr-FR"/>
      </w:rPr>
      <w:t>.Doc</w:t>
    </w:r>
    <w:proofErr w:type="gramEnd"/>
    <w:r w:rsidRPr="00771277">
      <w:rPr>
        <w:rFonts w:ascii="Arial" w:hAnsi="Arial" w:cs="Arial"/>
        <w:bCs/>
        <w:sz w:val="22"/>
        <w:szCs w:val="22"/>
        <w:lang w:val="fr-FR"/>
      </w:rPr>
      <w:t>(</w:t>
    </w:r>
    <w:r w:rsidR="00FD0D40">
      <w:rPr>
        <w:rFonts w:ascii="Arial" w:hAnsi="Arial" w:cs="Arial"/>
        <w:bCs/>
        <w:sz w:val="22"/>
        <w:szCs w:val="22"/>
        <w:lang w:val="fr-FR"/>
      </w:rPr>
      <w:t>2</w:t>
    </w:r>
    <w:r w:rsidRPr="00771277">
      <w:rPr>
        <w:rFonts w:ascii="Arial" w:hAnsi="Arial" w:cs="Arial"/>
        <w:bCs/>
        <w:sz w:val="22"/>
        <w:szCs w:val="22"/>
        <w:lang w:val="fr-FR"/>
      </w:rPr>
      <w:t>)</w:t>
    </w:r>
    <w:r w:rsidR="00F201D9">
      <w:rPr>
        <w:rFonts w:ascii="Arial" w:hAnsi="Arial" w:cs="Arial"/>
        <w:bCs/>
        <w:sz w:val="22"/>
        <w:szCs w:val="22"/>
      </w:rPr>
      <w:t xml:space="preserve"> – page </w:t>
    </w:r>
    <w:r w:rsidR="00F201D9" w:rsidRPr="00BC135C">
      <w:rPr>
        <w:rFonts w:ascii="Arial" w:hAnsi="Arial" w:cs="Arial"/>
        <w:bCs/>
        <w:sz w:val="22"/>
        <w:szCs w:val="22"/>
      </w:rPr>
      <w:fldChar w:fldCharType="begin"/>
    </w:r>
    <w:r w:rsidR="00F201D9" w:rsidRPr="00BC135C">
      <w:rPr>
        <w:rFonts w:ascii="Arial" w:hAnsi="Arial" w:cs="Arial"/>
        <w:bCs/>
        <w:sz w:val="22"/>
        <w:szCs w:val="22"/>
      </w:rPr>
      <w:instrText xml:space="preserve"> PAGE   \* MERGEFORMAT </w:instrText>
    </w:r>
    <w:r w:rsidR="00F201D9" w:rsidRPr="00BC135C">
      <w:rPr>
        <w:rFonts w:ascii="Arial" w:hAnsi="Arial" w:cs="Arial"/>
        <w:bCs/>
        <w:sz w:val="22"/>
        <w:szCs w:val="22"/>
      </w:rPr>
      <w:fldChar w:fldCharType="separate"/>
    </w:r>
    <w:r w:rsidR="00854A0E">
      <w:rPr>
        <w:rFonts w:ascii="Arial" w:hAnsi="Arial" w:cs="Arial"/>
        <w:bCs/>
        <w:noProof/>
        <w:sz w:val="22"/>
        <w:szCs w:val="22"/>
      </w:rPr>
      <w:t>4</w:t>
    </w:r>
    <w:r w:rsidR="00F201D9" w:rsidRPr="00BC135C">
      <w:rPr>
        <w:rFonts w:ascii="Arial" w:hAnsi="Arial" w:cs="Arial"/>
        <w:bCs/>
        <w:noProof/>
        <w:sz w:val="22"/>
        <w:szCs w:val="22"/>
      </w:rPr>
      <w:fldChar w:fldCharType="end"/>
    </w:r>
  </w:p>
  <w:p w14:paraId="7669745D" w14:textId="77777777" w:rsidR="00F201D9" w:rsidRPr="00D7566D" w:rsidRDefault="00F201D9">
    <w:pPr>
      <w:pStyle w:val="Header"/>
      <w:rPr>
        <w:lang w:val="fr-FR"/>
      </w:rPr>
    </w:pPr>
  </w:p>
  <w:p w14:paraId="62D25F41" w14:textId="77777777" w:rsidR="00F201D9" w:rsidRDefault="00F201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B357" w14:textId="753313D8" w:rsidR="00F201D9" w:rsidRPr="00DD55DA" w:rsidRDefault="00771277" w:rsidP="00FF54F5">
    <w:pPr>
      <w:pStyle w:val="Header"/>
      <w:jc w:val="right"/>
      <w:rPr>
        <w:rFonts w:ascii="Arial" w:hAnsi="Arial" w:cs="Arial"/>
        <w:bCs/>
        <w:sz w:val="22"/>
        <w:szCs w:val="22"/>
        <w:lang w:val="fr-FR"/>
      </w:rPr>
    </w:pPr>
    <w:r w:rsidRPr="00771277">
      <w:rPr>
        <w:rFonts w:ascii="Arial" w:hAnsi="Arial" w:cs="Arial"/>
        <w:bCs/>
        <w:sz w:val="22"/>
        <w:szCs w:val="22"/>
        <w:lang w:val="fr-FR"/>
      </w:rPr>
      <w:t>IOC/</w:t>
    </w:r>
    <w:r w:rsidR="00574C8D">
      <w:rPr>
        <w:rFonts w:ascii="Arial" w:hAnsi="Arial" w:cs="Arial"/>
        <w:bCs/>
        <w:sz w:val="22"/>
        <w:szCs w:val="22"/>
        <w:lang w:val="fr-FR"/>
      </w:rPr>
      <w:t>A-33</w:t>
    </w:r>
    <w:r w:rsidRPr="00771277">
      <w:rPr>
        <w:rFonts w:ascii="Arial" w:hAnsi="Arial" w:cs="Arial"/>
        <w:bCs/>
        <w:sz w:val="22"/>
        <w:szCs w:val="22"/>
        <w:lang w:val="fr-FR"/>
      </w:rPr>
      <w:t>/5.</w:t>
    </w:r>
    <w:r w:rsidR="00574C8D">
      <w:rPr>
        <w:rFonts w:ascii="Arial" w:hAnsi="Arial" w:cs="Arial"/>
        <w:bCs/>
        <w:sz w:val="22"/>
        <w:szCs w:val="22"/>
        <w:lang w:val="fr-FR"/>
      </w:rPr>
      <w:t>3</w:t>
    </w:r>
    <w:r w:rsidRPr="00771277">
      <w:rPr>
        <w:rFonts w:ascii="Arial" w:hAnsi="Arial" w:cs="Arial"/>
        <w:bCs/>
        <w:sz w:val="22"/>
        <w:szCs w:val="22"/>
        <w:lang w:val="fr-FR"/>
      </w:rPr>
      <w:t>.Doc(</w:t>
    </w:r>
    <w:r w:rsidR="00574C8D">
      <w:rPr>
        <w:rFonts w:ascii="Arial" w:hAnsi="Arial" w:cs="Arial"/>
        <w:bCs/>
        <w:sz w:val="22"/>
        <w:szCs w:val="22"/>
        <w:lang w:val="fr-FR"/>
      </w:rPr>
      <w:t>2</w:t>
    </w:r>
    <w:r w:rsidRPr="00771277">
      <w:rPr>
        <w:rFonts w:ascii="Arial" w:hAnsi="Arial" w:cs="Arial"/>
        <w:bCs/>
        <w:sz w:val="22"/>
        <w:szCs w:val="22"/>
        <w:lang w:val="fr-FR"/>
      </w:rPr>
      <w:t>)</w:t>
    </w:r>
    <w:r w:rsidR="00F201D9">
      <w:rPr>
        <w:rFonts w:ascii="Arial" w:hAnsi="Arial" w:cs="Arial"/>
        <w:bCs/>
        <w:sz w:val="22"/>
        <w:szCs w:val="22"/>
        <w:lang w:val="fr-FR"/>
      </w:rPr>
      <w:t xml:space="preserve"> – page </w:t>
    </w:r>
    <w:r w:rsidR="00F201D9" w:rsidRPr="00A14C22">
      <w:rPr>
        <w:rFonts w:ascii="Arial" w:hAnsi="Arial" w:cs="Arial"/>
        <w:bCs/>
        <w:sz w:val="22"/>
        <w:szCs w:val="22"/>
        <w:lang w:val="fr-FR"/>
      </w:rPr>
      <w:fldChar w:fldCharType="begin"/>
    </w:r>
    <w:r w:rsidR="00F201D9" w:rsidRPr="00A14C22">
      <w:rPr>
        <w:rFonts w:ascii="Arial" w:hAnsi="Arial" w:cs="Arial"/>
        <w:bCs/>
        <w:sz w:val="22"/>
        <w:szCs w:val="22"/>
        <w:lang w:val="fr-FR"/>
      </w:rPr>
      <w:instrText xml:space="preserve"> PAGE   \* MERGEFORMAT </w:instrText>
    </w:r>
    <w:r w:rsidR="00F201D9" w:rsidRPr="00A14C22">
      <w:rPr>
        <w:rFonts w:ascii="Arial" w:hAnsi="Arial" w:cs="Arial"/>
        <w:bCs/>
        <w:sz w:val="22"/>
        <w:szCs w:val="22"/>
        <w:lang w:val="fr-FR"/>
      </w:rPr>
      <w:fldChar w:fldCharType="separate"/>
    </w:r>
    <w:r w:rsidR="00854A0E">
      <w:rPr>
        <w:rFonts w:ascii="Arial" w:hAnsi="Arial" w:cs="Arial"/>
        <w:bCs/>
        <w:noProof/>
        <w:sz w:val="22"/>
        <w:szCs w:val="22"/>
        <w:lang w:val="fr-FR"/>
      </w:rPr>
      <w:t>5</w:t>
    </w:r>
    <w:r w:rsidR="00F201D9" w:rsidRPr="00A14C22">
      <w:rPr>
        <w:rFonts w:ascii="Arial" w:hAnsi="Arial" w:cs="Arial"/>
        <w:bCs/>
        <w:noProof/>
        <w:sz w:val="22"/>
        <w:szCs w:val="22"/>
        <w:lang w:val="fr-FR"/>
      </w:rPr>
      <w:fldChar w:fldCharType="end"/>
    </w:r>
  </w:p>
  <w:p w14:paraId="115C0040" w14:textId="77777777" w:rsidR="00F201D9" w:rsidRPr="00DD55DA" w:rsidRDefault="00F201D9" w:rsidP="00FF54F5">
    <w:pPr>
      <w:pStyle w:val="Header"/>
      <w:jc w:val="right"/>
      <w:rPr>
        <w:lang w:val="fr-FR"/>
      </w:rPr>
    </w:pPr>
  </w:p>
  <w:p w14:paraId="7A013DD7" w14:textId="77777777" w:rsidR="00F201D9" w:rsidRDefault="00F201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1B9761C0" w:rsidR="00F201D9" w:rsidRPr="0042612F" w:rsidRDefault="00F201D9" w:rsidP="00DD448F">
    <w:pPr>
      <w:pStyle w:val="Marge"/>
      <w:tabs>
        <w:tab w:val="left" w:pos="6521"/>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bookmarkStart w:id="1" w:name="_Hlk135218549"/>
    <w:r w:rsidR="00662B9F">
      <w:rPr>
        <w:rFonts w:cs="Arial"/>
        <w:szCs w:val="22"/>
      </w:rPr>
      <w:t xml:space="preserve">                                                                </w:t>
    </w:r>
    <w:r w:rsidRPr="0042612F">
      <w:rPr>
        <w:rFonts w:ascii="Arial" w:hAnsi="Arial" w:cs="Arial"/>
        <w:b/>
        <w:sz w:val="36"/>
        <w:szCs w:val="36"/>
      </w:rPr>
      <w:t>IOC</w:t>
    </w:r>
    <w:r w:rsidR="006D5044">
      <w:rPr>
        <w:rFonts w:ascii="Arial" w:hAnsi="Arial" w:cs="Arial"/>
        <w:b/>
        <w:sz w:val="36"/>
        <w:szCs w:val="36"/>
      </w:rPr>
      <w:t>/A</w:t>
    </w:r>
    <w:r w:rsidRPr="0042612F">
      <w:rPr>
        <w:rFonts w:ascii="Arial" w:hAnsi="Arial" w:cs="Arial"/>
        <w:b/>
        <w:sz w:val="36"/>
        <w:szCs w:val="36"/>
      </w:rPr>
      <w:t>-</w:t>
    </w:r>
    <w:r w:rsidR="00A56450">
      <w:rPr>
        <w:rFonts w:ascii="Arial" w:hAnsi="Arial" w:cs="Arial"/>
        <w:b/>
        <w:sz w:val="36"/>
        <w:szCs w:val="36"/>
      </w:rPr>
      <w:t>33</w:t>
    </w:r>
    <w:r w:rsidRPr="0042612F">
      <w:rPr>
        <w:rFonts w:ascii="Arial" w:hAnsi="Arial" w:cs="Arial"/>
        <w:b/>
        <w:sz w:val="36"/>
        <w:szCs w:val="36"/>
      </w:rPr>
      <w:t>/</w:t>
    </w:r>
    <w:r w:rsidR="00662B9F">
      <w:rPr>
        <w:rFonts w:ascii="Arial" w:hAnsi="Arial" w:cs="Arial"/>
        <w:b/>
        <w:sz w:val="36"/>
        <w:szCs w:val="36"/>
      </w:rPr>
      <w:t>5</w:t>
    </w:r>
    <w:r w:rsidR="002C28B5">
      <w:rPr>
        <w:rFonts w:ascii="Arial" w:hAnsi="Arial" w:cs="Arial"/>
        <w:b/>
        <w:sz w:val="36"/>
        <w:szCs w:val="36"/>
      </w:rPr>
      <w:t>.</w:t>
    </w:r>
    <w:bookmarkEnd w:id="0"/>
    <w:r w:rsidR="00FD0D40">
      <w:rPr>
        <w:rFonts w:ascii="Arial" w:hAnsi="Arial" w:cs="Arial"/>
        <w:b/>
        <w:sz w:val="36"/>
        <w:szCs w:val="36"/>
      </w:rPr>
      <w:t>3</w:t>
    </w:r>
    <w:r>
      <w:rPr>
        <w:rFonts w:ascii="Arial" w:hAnsi="Arial" w:cs="Arial"/>
        <w:b/>
        <w:sz w:val="36"/>
        <w:szCs w:val="36"/>
      </w:rPr>
      <w:t>.Doc(</w:t>
    </w:r>
    <w:r w:rsidR="00FD0D40">
      <w:rPr>
        <w:rFonts w:ascii="Arial" w:hAnsi="Arial" w:cs="Arial"/>
        <w:b/>
        <w:sz w:val="36"/>
        <w:szCs w:val="36"/>
      </w:rPr>
      <w:t>2</w:t>
    </w:r>
    <w:r>
      <w:rPr>
        <w:rFonts w:ascii="Arial" w:hAnsi="Arial" w:cs="Arial"/>
        <w:b/>
        <w:sz w:val="36"/>
        <w:szCs w:val="36"/>
      </w:rPr>
      <w:t>)</w:t>
    </w:r>
    <w:bookmarkEnd w:id="1"/>
  </w:p>
  <w:p w14:paraId="4FD70AD5" w14:textId="6AA0AE3A" w:rsidR="00F201D9" w:rsidRDefault="00F201D9" w:rsidP="009425E5">
    <w:pPr>
      <w:pStyle w:val="Marge"/>
      <w:tabs>
        <w:tab w:val="left" w:pos="5954"/>
      </w:tabs>
      <w:spacing w:after="0"/>
      <w:rPr>
        <w:rFonts w:ascii="Arial" w:hAnsi="Arial" w:cs="Arial"/>
        <w:sz w:val="22"/>
        <w:szCs w:val="22"/>
      </w:rPr>
    </w:pPr>
    <w:r w:rsidRPr="0042612F">
      <w:rPr>
        <w:rFonts w:cs="Arial"/>
        <w:b/>
        <w:szCs w:val="22"/>
      </w:rPr>
      <w:tab/>
    </w:r>
    <w:r w:rsidR="0011200E">
      <w:rPr>
        <w:rFonts w:cs="Arial"/>
        <w:b/>
        <w:szCs w:val="22"/>
      </w:rPr>
      <w:tab/>
    </w:r>
    <w:r w:rsidRPr="00BF254D">
      <w:rPr>
        <w:rFonts w:ascii="Arial" w:hAnsi="Arial" w:cs="Arial"/>
        <w:sz w:val="22"/>
        <w:szCs w:val="22"/>
      </w:rPr>
      <w:t xml:space="preserve">Paris, </w:t>
    </w:r>
    <w:r w:rsidR="00FD0D40" w:rsidRPr="00C941BE">
      <w:rPr>
        <w:rFonts w:ascii="Arial" w:hAnsi="Arial" w:cs="Arial"/>
        <w:sz w:val="22"/>
        <w:szCs w:val="22"/>
      </w:rPr>
      <w:t>2</w:t>
    </w:r>
    <w:r w:rsidR="00C941BE" w:rsidRPr="004D4EF2">
      <w:rPr>
        <w:rFonts w:ascii="Arial" w:hAnsi="Arial" w:cs="Arial"/>
        <w:sz w:val="22"/>
        <w:szCs w:val="22"/>
      </w:rPr>
      <w:t>4</w:t>
    </w:r>
    <w:r w:rsidR="00FD0D40" w:rsidRPr="00C941BE">
      <w:rPr>
        <w:rFonts w:ascii="Arial" w:hAnsi="Arial" w:cs="Arial"/>
        <w:sz w:val="22"/>
        <w:szCs w:val="22"/>
      </w:rPr>
      <w:t xml:space="preserve"> March</w:t>
    </w:r>
    <w:r w:rsidRPr="00C941BE">
      <w:rPr>
        <w:rFonts w:ascii="Arial" w:hAnsi="Arial" w:cs="Arial"/>
        <w:sz w:val="22"/>
        <w:szCs w:val="22"/>
      </w:rPr>
      <w:t xml:space="preserve"> 202</w:t>
    </w:r>
    <w:r w:rsidR="00CF3DD1" w:rsidRPr="00C941BE">
      <w:rPr>
        <w:rFonts w:ascii="Arial" w:hAnsi="Arial" w:cs="Arial"/>
        <w:sz w:val="22"/>
        <w:szCs w:val="22"/>
      </w:rPr>
      <w:t>5</w:t>
    </w:r>
  </w:p>
  <w:p w14:paraId="07C76426" w14:textId="7D0954DA" w:rsidR="00F201D9" w:rsidRPr="00BF254D" w:rsidRDefault="0011200E" w:rsidP="009425E5">
    <w:pPr>
      <w:pStyle w:val="Marge"/>
      <w:tabs>
        <w:tab w:val="left" w:pos="5954"/>
      </w:tabs>
      <w:rPr>
        <w:rFonts w:ascii="Arial" w:hAnsi="Arial" w:cs="Arial"/>
        <w:sz w:val="22"/>
        <w:szCs w:val="22"/>
      </w:rPr>
    </w:pPr>
    <w:r>
      <w:rPr>
        <w:rFonts w:cs="Arial"/>
        <w:b/>
        <w:noProof/>
        <w:snapToGrid/>
        <w:szCs w:val="22"/>
        <w:lang w:val="fr-FR" w:eastAsia="fr-FR"/>
      </w:rPr>
      <w:drawing>
        <wp:anchor distT="0" distB="0" distL="114300" distR="114300" simplePos="0" relativeHeight="251700736" behindDoc="0" locked="0" layoutInCell="1" allowOverlap="1" wp14:anchorId="7C2FCC9E" wp14:editId="7B8CF65D">
          <wp:simplePos x="0" y="0"/>
          <wp:positionH relativeFrom="column">
            <wp:posOffset>-88265</wp:posOffset>
          </wp:positionH>
          <wp:positionV relativeFrom="paragraph">
            <wp:posOffset>87434</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F201D9">
      <w:rPr>
        <w:rFonts w:ascii="Arial" w:hAnsi="Arial" w:cs="Arial"/>
        <w:b/>
        <w:sz w:val="22"/>
        <w:szCs w:val="22"/>
      </w:rPr>
      <w:tab/>
    </w:r>
    <w:r w:rsidR="00F201D9" w:rsidRPr="00BF254D">
      <w:rPr>
        <w:rFonts w:ascii="Arial" w:hAnsi="Arial" w:cs="Arial"/>
        <w:sz w:val="22"/>
        <w:szCs w:val="22"/>
      </w:rPr>
      <w:t>Original: English</w:t>
    </w:r>
  </w:p>
  <w:p w14:paraId="0759C652" w14:textId="6ACD3015"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5B71B6DC"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4810EA2" w14:textId="77777777" w:rsidR="0011200E" w:rsidRDefault="0011200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F201D9" w:rsidRPr="005E544C"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F201D9" w:rsidRPr="00BF254D" w:rsidRDefault="00F201D9"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647093FE" w:rsidR="00F201D9" w:rsidRPr="00BF254D" w:rsidRDefault="00CF3DD1"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 xml:space="preserve">Thirty-third </w:t>
    </w:r>
    <w:r w:rsidR="00F201D9" w:rsidRPr="00BF254D">
      <w:rPr>
        <w:rFonts w:ascii="Arial" w:hAnsi="Arial" w:cs="Arial"/>
        <w:b/>
      </w:rPr>
      <w:t xml:space="preserve">Session of the </w:t>
    </w:r>
    <w:r>
      <w:rPr>
        <w:rFonts w:ascii="Arial" w:hAnsi="Arial" w:cs="Arial"/>
        <w:b/>
      </w:rPr>
      <w:t>Assembly</w:t>
    </w:r>
  </w:p>
  <w:p w14:paraId="71300EEE" w14:textId="3148D18C" w:rsidR="00F201D9" w:rsidRPr="00843E81" w:rsidRDefault="00F201D9"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FE1D78">
      <w:rPr>
        <w:rFonts w:ascii="Arial" w:hAnsi="Arial" w:cs="Arial"/>
        <w:bCs/>
        <w:lang w:val="en-US"/>
      </w:rPr>
      <w:t>2</w:t>
    </w:r>
    <w:r w:rsidR="00662B9F">
      <w:rPr>
        <w:rFonts w:ascii="Arial" w:hAnsi="Arial" w:cs="Arial"/>
        <w:bCs/>
        <w:lang w:val="en-US"/>
      </w:rPr>
      <w:t>5</w:t>
    </w:r>
    <w:r w:rsidR="00CF3DD1">
      <w:rPr>
        <w:rFonts w:ascii="Arial" w:hAnsi="Arial" w:cs="Arial"/>
        <w:bCs/>
        <w:lang w:val="en-US"/>
      </w:rPr>
      <w:t xml:space="preserve"> June</w:t>
    </w:r>
    <w:r w:rsidRPr="00843E81">
      <w:rPr>
        <w:rFonts w:ascii="Arial" w:hAnsi="Arial" w:cs="Arial"/>
        <w:bCs/>
        <w:lang w:val="en-US"/>
      </w:rPr>
      <w:t>–</w:t>
    </w:r>
    <w:r w:rsidR="00CF3DD1">
      <w:rPr>
        <w:rFonts w:ascii="Arial" w:hAnsi="Arial" w:cs="Arial"/>
        <w:bCs/>
        <w:lang w:val="en-US"/>
      </w:rPr>
      <w:t>3</w:t>
    </w:r>
    <w:r w:rsidRPr="00843E81">
      <w:rPr>
        <w:rFonts w:ascii="Arial" w:hAnsi="Arial" w:cs="Arial"/>
        <w:bCs/>
        <w:lang w:val="en-US"/>
      </w:rPr>
      <w:t xml:space="preserve"> Ju</w:t>
    </w:r>
    <w:r w:rsidR="00CF3DD1">
      <w:rPr>
        <w:rFonts w:ascii="Arial" w:hAnsi="Arial" w:cs="Arial"/>
        <w:bCs/>
        <w:lang w:val="en-US"/>
      </w:rPr>
      <w:t>ly</w:t>
    </w:r>
    <w:r w:rsidRPr="00843E81">
      <w:rPr>
        <w:rFonts w:ascii="Arial" w:hAnsi="Arial" w:cs="Arial"/>
        <w:bCs/>
        <w:lang w:val="en-US"/>
      </w:rPr>
      <w:t xml:space="preserve"> 202</w:t>
    </w:r>
    <w:r w:rsidR="00CF3DD1">
      <w:rPr>
        <w:rFonts w:ascii="Arial" w:hAnsi="Arial" w:cs="Arial"/>
        <w:bCs/>
        <w:lang w:val="en-US"/>
      </w:rPr>
      <w:t>5</w:t>
    </w:r>
  </w:p>
  <w:p w14:paraId="56049137" w14:textId="1729D7A4" w:rsidR="0011200E" w:rsidRDefault="0011200E" w:rsidP="00B17054">
    <w:pPr>
      <w:jc w:val="center"/>
      <w:rPr>
        <w:rFonts w:cs="Arial"/>
        <w:szCs w:val="22"/>
        <w:lang w:val="en-US"/>
      </w:rPr>
    </w:pPr>
  </w:p>
  <w:p w14:paraId="5560DF7D" w14:textId="77777777" w:rsidR="0011200E" w:rsidRPr="00843E81" w:rsidRDefault="0011200E" w:rsidP="00B17054">
    <w:pPr>
      <w:jc w:val="center"/>
      <w:rPr>
        <w:rFonts w:cs="Arial"/>
        <w:szCs w:val="22"/>
        <w:lang w:val="en-US"/>
      </w:rPr>
    </w:pPr>
  </w:p>
  <w:p w14:paraId="4AE80372" w14:textId="5D42B865" w:rsidR="00F201D9" w:rsidRPr="00FA68D9" w:rsidRDefault="00F201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Item</w:t>
    </w:r>
    <w:r w:rsidR="0011200E">
      <w:rPr>
        <w:rFonts w:ascii="Arial" w:eastAsia="Times New Roman" w:hAnsi="Arial" w:cs="Arial"/>
        <w:u w:val="single"/>
        <w:lang w:eastAsia="en-US"/>
      </w:rPr>
      <w:t>s</w:t>
    </w:r>
    <w:r w:rsidRPr="00FA68D9">
      <w:rPr>
        <w:rFonts w:ascii="Arial" w:eastAsia="Times New Roman" w:hAnsi="Arial" w:cs="Arial"/>
        <w:u w:val="single"/>
        <w:lang w:eastAsia="en-US"/>
      </w:rPr>
      <w:t xml:space="preserve"> </w:t>
    </w:r>
    <w:r w:rsidR="00662B9F">
      <w:rPr>
        <w:rFonts w:ascii="Arial" w:eastAsia="Times New Roman" w:hAnsi="Arial" w:cs="Arial"/>
        <w:b/>
        <w:u w:val="single"/>
        <w:lang w:eastAsia="en-US"/>
      </w:rPr>
      <w:t>5</w:t>
    </w:r>
    <w:r w:rsidR="002C28B5">
      <w:rPr>
        <w:rFonts w:ascii="Arial" w:eastAsia="Times New Roman" w:hAnsi="Arial" w:cs="Arial"/>
        <w:b/>
        <w:u w:val="single"/>
        <w:lang w:eastAsia="en-US"/>
      </w:rPr>
      <w:t>.</w:t>
    </w:r>
    <w:r w:rsidR="00E31F6B">
      <w:rPr>
        <w:rFonts w:ascii="Arial" w:eastAsia="Times New Roman" w:hAnsi="Arial" w:cs="Arial"/>
        <w:b/>
        <w:u w:val="single"/>
        <w:lang w:eastAsia="en-US"/>
      </w:rPr>
      <w:t>3</w:t>
    </w:r>
    <w:r w:rsidR="00CB70B8">
      <w:rPr>
        <w:rFonts w:ascii="Arial" w:eastAsia="Times New Roman" w:hAnsi="Arial" w:cs="Arial"/>
        <w:b/>
        <w:u w:val="single"/>
        <w:lang w:eastAsia="en-US"/>
      </w:rPr>
      <w:t xml:space="preserve"> </w:t>
    </w:r>
    <w:r w:rsidR="00CB70B8" w:rsidRPr="00CB70B8">
      <w:rPr>
        <w:rFonts w:ascii="Arial" w:eastAsia="Times New Roman" w:hAnsi="Arial" w:cs="Arial"/>
        <w:bCs/>
        <w:u w:val="single"/>
        <w:lang w:eastAsia="en-US"/>
      </w:rPr>
      <w:t>and</w:t>
    </w:r>
    <w:r w:rsidR="00CB70B8">
      <w:rPr>
        <w:rFonts w:ascii="Arial" w:eastAsia="Times New Roman" w:hAnsi="Arial" w:cs="Arial"/>
        <w:b/>
        <w:u w:val="single"/>
        <w:lang w:eastAsia="en-US"/>
      </w:rPr>
      <w:t xml:space="preserve"> </w:t>
    </w:r>
    <w:r w:rsidR="00662B9F">
      <w:rPr>
        <w:rFonts w:ascii="Arial" w:eastAsia="Times New Roman" w:hAnsi="Arial" w:cs="Arial"/>
        <w:b/>
        <w:u w:val="single"/>
        <w:lang w:eastAsia="en-US"/>
      </w:rPr>
      <w:t>5</w:t>
    </w:r>
    <w:r w:rsidR="00CB70B8">
      <w:rPr>
        <w:rFonts w:ascii="Arial" w:eastAsia="Times New Roman" w:hAnsi="Arial" w:cs="Arial"/>
        <w:b/>
        <w:u w:val="single"/>
        <w:lang w:eastAsia="en-US"/>
      </w:rPr>
      <w:t>.4</w:t>
    </w:r>
    <w:r w:rsidRPr="00FA68D9">
      <w:rPr>
        <w:rFonts w:ascii="Arial" w:eastAsia="Times New Roman" w:hAnsi="Arial" w:cs="Arial"/>
        <w:u w:val="single"/>
        <w:lang w:eastAsia="en-US"/>
      </w:rPr>
      <w:t xml:space="preserve"> of the Provisional Agenda</w:t>
    </w:r>
  </w:p>
  <w:p w14:paraId="5283A965" w14:textId="240F6141" w:rsidR="00F201D9"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D12AFE2" w14:textId="77777777" w:rsidR="0011200E" w:rsidRPr="00FA68D9" w:rsidRDefault="0011200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3419E7CA" w14:textId="519BB69C" w:rsidR="00662B9F" w:rsidRDefault="00F201D9" w:rsidP="004D4EF2">
    <w:pPr>
      <w:pStyle w:val="b"/>
      <w:ind w:left="0" w:firstLine="0"/>
      <w:jc w:val="center"/>
      <w:rPr>
        <w:rFonts w:ascii="Arial" w:hAnsi="Arial" w:cs="Arial"/>
        <w:b/>
        <w:sz w:val="22"/>
        <w:szCs w:val="22"/>
        <w:lang w:val="en-US"/>
      </w:rPr>
    </w:pPr>
    <w:r>
      <w:rPr>
        <w:rFonts w:ascii="Arial" w:hAnsi="Arial" w:cs="Arial"/>
        <w:b/>
        <w:sz w:val="22"/>
        <w:szCs w:val="22"/>
        <w:lang w:val="en-US"/>
      </w:rPr>
      <w:t xml:space="preserve">ACTION PLAN IN RESPONSE TO THE IOS EVALUATION </w:t>
    </w:r>
    <w:r w:rsidR="00FD0D40">
      <w:rPr>
        <w:rFonts w:ascii="Arial" w:hAnsi="Arial" w:cs="Arial"/>
        <w:b/>
        <w:sz w:val="22"/>
        <w:szCs w:val="22"/>
        <w:lang w:val="en-US"/>
      </w:rPr>
      <w:br/>
    </w:r>
    <w:r>
      <w:rPr>
        <w:rFonts w:ascii="Arial" w:hAnsi="Arial" w:cs="Arial"/>
        <w:b/>
        <w:sz w:val="22"/>
        <w:szCs w:val="22"/>
        <w:lang w:val="en-US"/>
      </w:rPr>
      <w:t>OF THE IOC STRATEGIC POSITIONING</w:t>
    </w:r>
    <w:r w:rsidRPr="00FA68D9">
      <w:rPr>
        <w:rFonts w:ascii="Arial" w:hAnsi="Arial" w:cs="Arial"/>
        <w:b/>
        <w:sz w:val="22"/>
        <w:szCs w:val="22"/>
        <w:lang w:val="en-US"/>
      </w:rPr>
      <w:t xml:space="preserve"> </w:t>
    </w:r>
  </w:p>
  <w:p w14:paraId="12B25AD8" w14:textId="520FA454" w:rsidR="00F201D9" w:rsidRPr="00FA68D9" w:rsidRDefault="00662B9F" w:rsidP="004D4EF2">
    <w:pPr>
      <w:pStyle w:val="b"/>
      <w:spacing w:after="0"/>
      <w:ind w:left="0" w:firstLine="0"/>
      <w:jc w:val="center"/>
      <w:rPr>
        <w:rFonts w:cs="Arial"/>
        <w:bCs/>
        <w:szCs w:val="22"/>
        <w:lang w:val="en-US"/>
      </w:rPr>
    </w:pPr>
    <w:r>
      <w:rPr>
        <w:rFonts w:ascii="Arial" w:hAnsi="Arial" w:cs="Arial"/>
        <w:b/>
        <w:sz w:val="22"/>
        <w:szCs w:val="22"/>
        <w:lang w:val="en-US"/>
      </w:rPr>
      <w:t>UPDATE ON IMPLEMENTATION</w:t>
    </w:r>
  </w:p>
  <w:p w14:paraId="5F53C7C4" w14:textId="77777777" w:rsidR="00F201D9" w:rsidRDefault="00F201D9" w:rsidP="00B17054">
    <w:pPr>
      <w:pStyle w:val="Header"/>
      <w:jc w:val="center"/>
      <w:rPr>
        <w:lang w:val="en-US"/>
      </w:rPr>
    </w:pPr>
  </w:p>
  <w:p w14:paraId="5B8521DF" w14:textId="77777777" w:rsidR="00FD0D40" w:rsidRDefault="00FD0D40" w:rsidP="00B17054">
    <w:pPr>
      <w:pStyle w:val="Header"/>
      <w:jc w:val="center"/>
      <w:rPr>
        <w:lang w:val="en-US"/>
      </w:rPr>
    </w:pPr>
  </w:p>
  <w:p w14:paraId="2D7A3458" w14:textId="77777777" w:rsidR="00FD0D40" w:rsidRPr="00FA68D9" w:rsidRDefault="00FD0D40" w:rsidP="00B17054">
    <w:pPr>
      <w:pStyle w:val="Header"/>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D3FB" w14:textId="6E4FF438" w:rsidR="00756455" w:rsidRPr="00FF54F5" w:rsidRDefault="00771277" w:rsidP="00DD448F">
    <w:pPr>
      <w:pStyle w:val="Header"/>
      <w:jc w:val="right"/>
      <w:rPr>
        <w:rFonts w:ascii="Arial" w:hAnsi="Arial" w:cs="Arial"/>
        <w:bCs/>
        <w:sz w:val="22"/>
        <w:szCs w:val="22"/>
        <w:lang w:val="fr-FR"/>
      </w:rPr>
    </w:pPr>
    <w:r w:rsidRPr="00771277">
      <w:rPr>
        <w:rFonts w:ascii="Arial" w:hAnsi="Arial" w:cs="Arial"/>
        <w:bCs/>
        <w:sz w:val="22"/>
        <w:szCs w:val="22"/>
        <w:lang w:val="fr-FR"/>
      </w:rPr>
      <w:t>IOC/</w:t>
    </w:r>
    <w:r w:rsidR="00FD0D40">
      <w:rPr>
        <w:rFonts w:ascii="Arial" w:hAnsi="Arial" w:cs="Arial"/>
        <w:bCs/>
        <w:sz w:val="22"/>
        <w:szCs w:val="22"/>
        <w:lang w:val="fr-FR"/>
      </w:rPr>
      <w:t>A</w:t>
    </w:r>
    <w:r w:rsidRPr="00771277">
      <w:rPr>
        <w:rFonts w:ascii="Arial" w:hAnsi="Arial" w:cs="Arial"/>
        <w:bCs/>
        <w:sz w:val="22"/>
        <w:szCs w:val="22"/>
        <w:lang w:val="fr-FR"/>
      </w:rPr>
      <w:t>-</w:t>
    </w:r>
    <w:r w:rsidR="00FD0D40">
      <w:rPr>
        <w:rFonts w:ascii="Arial" w:hAnsi="Arial" w:cs="Arial"/>
        <w:bCs/>
        <w:sz w:val="22"/>
        <w:szCs w:val="22"/>
        <w:lang w:val="fr-FR"/>
      </w:rPr>
      <w:t>33</w:t>
    </w:r>
    <w:r w:rsidRPr="00771277">
      <w:rPr>
        <w:rFonts w:ascii="Arial" w:hAnsi="Arial" w:cs="Arial"/>
        <w:bCs/>
        <w:sz w:val="22"/>
        <w:szCs w:val="22"/>
        <w:lang w:val="fr-FR"/>
      </w:rPr>
      <w:t>/5.</w:t>
    </w:r>
    <w:proofErr w:type="gramStart"/>
    <w:r w:rsidR="00FD0D40">
      <w:rPr>
        <w:rFonts w:ascii="Arial" w:hAnsi="Arial" w:cs="Arial"/>
        <w:bCs/>
        <w:sz w:val="22"/>
        <w:szCs w:val="22"/>
        <w:lang w:val="fr-FR"/>
      </w:rPr>
      <w:t>3</w:t>
    </w:r>
    <w:r w:rsidRPr="00771277">
      <w:rPr>
        <w:rFonts w:ascii="Arial" w:hAnsi="Arial" w:cs="Arial"/>
        <w:bCs/>
        <w:sz w:val="22"/>
        <w:szCs w:val="22"/>
        <w:lang w:val="fr-FR"/>
      </w:rPr>
      <w:t>.Doc</w:t>
    </w:r>
    <w:proofErr w:type="gramEnd"/>
    <w:r w:rsidRPr="00771277">
      <w:rPr>
        <w:rFonts w:ascii="Arial" w:hAnsi="Arial" w:cs="Arial"/>
        <w:bCs/>
        <w:sz w:val="22"/>
        <w:szCs w:val="22"/>
        <w:lang w:val="fr-FR"/>
      </w:rPr>
      <w:t>(</w:t>
    </w:r>
    <w:r w:rsidR="00FD0D40">
      <w:rPr>
        <w:rFonts w:ascii="Arial" w:hAnsi="Arial" w:cs="Arial"/>
        <w:bCs/>
        <w:sz w:val="22"/>
        <w:szCs w:val="22"/>
        <w:lang w:val="fr-FR"/>
      </w:rPr>
      <w:t>2</w:t>
    </w:r>
    <w:r w:rsidRPr="00771277">
      <w:rPr>
        <w:rFonts w:ascii="Arial" w:hAnsi="Arial" w:cs="Arial"/>
        <w:bCs/>
        <w:sz w:val="22"/>
        <w:szCs w:val="22"/>
        <w:lang w:val="fr-FR"/>
      </w:rPr>
      <w:t>)</w:t>
    </w:r>
    <w:r w:rsidR="00756455">
      <w:rPr>
        <w:rFonts w:ascii="Arial" w:hAnsi="Arial" w:cs="Arial"/>
        <w:bCs/>
        <w:sz w:val="22"/>
        <w:szCs w:val="22"/>
      </w:rPr>
      <w:t xml:space="preserve"> – page </w:t>
    </w:r>
    <w:r w:rsidR="00756455" w:rsidRPr="00BC135C">
      <w:rPr>
        <w:rFonts w:ascii="Arial" w:hAnsi="Arial" w:cs="Arial"/>
        <w:bCs/>
        <w:sz w:val="22"/>
        <w:szCs w:val="22"/>
      </w:rPr>
      <w:fldChar w:fldCharType="begin"/>
    </w:r>
    <w:r w:rsidR="00756455" w:rsidRPr="00BC135C">
      <w:rPr>
        <w:rFonts w:ascii="Arial" w:hAnsi="Arial" w:cs="Arial"/>
        <w:bCs/>
        <w:sz w:val="22"/>
        <w:szCs w:val="22"/>
      </w:rPr>
      <w:instrText xml:space="preserve"> PAGE   \* MERGEFORMAT </w:instrText>
    </w:r>
    <w:r w:rsidR="00756455" w:rsidRPr="00BC135C">
      <w:rPr>
        <w:rFonts w:ascii="Arial" w:hAnsi="Arial" w:cs="Arial"/>
        <w:bCs/>
        <w:sz w:val="22"/>
        <w:szCs w:val="22"/>
      </w:rPr>
      <w:fldChar w:fldCharType="separate"/>
    </w:r>
    <w:r w:rsidR="00756455">
      <w:rPr>
        <w:rFonts w:ascii="Arial" w:hAnsi="Arial" w:cs="Arial"/>
        <w:bCs/>
        <w:sz w:val="22"/>
        <w:szCs w:val="22"/>
      </w:rPr>
      <w:t>12</w:t>
    </w:r>
    <w:r w:rsidR="00756455" w:rsidRPr="00BC135C">
      <w:rPr>
        <w:rFonts w:ascii="Arial" w:hAnsi="Arial" w:cs="Arial"/>
        <w:bCs/>
        <w:noProof/>
        <w:sz w:val="22"/>
        <w:szCs w:val="22"/>
      </w:rPr>
      <w:fldChar w:fldCharType="end"/>
    </w:r>
  </w:p>
  <w:p w14:paraId="094246A1" w14:textId="77777777" w:rsidR="00756455" w:rsidRPr="00FA68D9" w:rsidRDefault="00756455" w:rsidP="00DD448F">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1"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A19AD"/>
    <w:multiLevelType w:val="hybridMultilevel"/>
    <w:tmpl w:val="37B2F36E"/>
    <w:lvl w:ilvl="0" w:tplc="ACF6DFC2">
      <w:start w:val="1"/>
      <w:numFmt w:val="decimal"/>
      <w:pStyle w:val="Numberedbodytext"/>
      <w:lvlText w:val="%1."/>
      <w:lvlJc w:val="left"/>
      <w:pPr>
        <w:ind w:left="3960" w:hanging="360"/>
      </w:pPr>
      <w:rPr>
        <w:rFonts w:ascii="Arial" w:hAnsi="Arial"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A27C49"/>
    <w:multiLevelType w:val="hybridMultilevel"/>
    <w:tmpl w:val="46BCF0A6"/>
    <w:lvl w:ilvl="0" w:tplc="96F6DF7C">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B0295F"/>
    <w:multiLevelType w:val="hybridMultilevel"/>
    <w:tmpl w:val="0084405A"/>
    <w:lvl w:ilvl="0" w:tplc="29920C36">
      <w:start w:val="1"/>
      <w:numFmt w:val="decimal"/>
      <w:lvlText w:val="%1."/>
      <w:lvlJc w:val="left"/>
      <w:pPr>
        <w:ind w:left="371" w:hanging="360"/>
      </w:pPr>
      <w:rPr>
        <w:rFonts w:asciiTheme="minorBidi" w:eastAsia="Times New Roman" w:hAnsiTheme="minorBidi" w:cstheme="minorBidi" w:hint="default"/>
        <w:b/>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5"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7"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92536">
    <w:abstractNumId w:val="7"/>
  </w:num>
  <w:num w:numId="2" w16cid:durableId="241838827">
    <w:abstractNumId w:val="7"/>
  </w:num>
  <w:num w:numId="3" w16cid:durableId="1756123555">
    <w:abstractNumId w:val="7"/>
  </w:num>
  <w:num w:numId="4" w16cid:durableId="1874346287">
    <w:abstractNumId w:val="7"/>
  </w:num>
  <w:num w:numId="5" w16cid:durableId="2023894738">
    <w:abstractNumId w:val="7"/>
  </w:num>
  <w:num w:numId="6" w16cid:durableId="1434521648">
    <w:abstractNumId w:val="7"/>
  </w:num>
  <w:num w:numId="7" w16cid:durableId="1413047883">
    <w:abstractNumId w:val="7"/>
  </w:num>
  <w:num w:numId="8" w16cid:durableId="569121624">
    <w:abstractNumId w:val="7"/>
  </w:num>
  <w:num w:numId="9" w16cid:durableId="142965790">
    <w:abstractNumId w:val="7"/>
  </w:num>
  <w:num w:numId="10" w16cid:durableId="1167213524">
    <w:abstractNumId w:val="7"/>
  </w:num>
  <w:num w:numId="11" w16cid:durableId="1360468166">
    <w:abstractNumId w:val="26"/>
  </w:num>
  <w:num w:numId="12" w16cid:durableId="270206578">
    <w:abstractNumId w:val="7"/>
  </w:num>
  <w:num w:numId="13" w16cid:durableId="740711676">
    <w:abstractNumId w:val="3"/>
  </w:num>
  <w:num w:numId="14" w16cid:durableId="594633512">
    <w:abstractNumId w:val="9"/>
  </w:num>
  <w:num w:numId="15" w16cid:durableId="2088261356">
    <w:abstractNumId w:val="2"/>
  </w:num>
  <w:num w:numId="16" w16cid:durableId="1440874724">
    <w:abstractNumId w:val="15"/>
  </w:num>
  <w:num w:numId="17" w16cid:durableId="1992253153">
    <w:abstractNumId w:val="6"/>
  </w:num>
  <w:num w:numId="18" w16cid:durableId="1059013919">
    <w:abstractNumId w:val="1"/>
  </w:num>
  <w:num w:numId="19" w16cid:durableId="412359996">
    <w:abstractNumId w:val="16"/>
  </w:num>
  <w:num w:numId="20" w16cid:durableId="891618954">
    <w:abstractNumId w:val="19"/>
  </w:num>
  <w:num w:numId="21" w16cid:durableId="1567178139">
    <w:abstractNumId w:val="0"/>
  </w:num>
  <w:num w:numId="22" w16cid:durableId="961110412">
    <w:abstractNumId w:val="17"/>
  </w:num>
  <w:num w:numId="23" w16cid:durableId="1709135283">
    <w:abstractNumId w:val="23"/>
  </w:num>
  <w:num w:numId="24" w16cid:durableId="1351570208">
    <w:abstractNumId w:val="22"/>
  </w:num>
  <w:num w:numId="25" w16cid:durableId="580062012">
    <w:abstractNumId w:val="8"/>
  </w:num>
  <w:num w:numId="26" w16cid:durableId="162404087">
    <w:abstractNumId w:val="12"/>
  </w:num>
  <w:num w:numId="27" w16cid:durableId="173300749">
    <w:abstractNumId w:val="4"/>
  </w:num>
  <w:num w:numId="28" w16cid:durableId="1530952820">
    <w:abstractNumId w:val="27"/>
  </w:num>
  <w:num w:numId="29" w16cid:durableId="1232037407">
    <w:abstractNumId w:val="11"/>
  </w:num>
  <w:num w:numId="30" w16cid:durableId="1030031308">
    <w:abstractNumId w:val="13"/>
  </w:num>
  <w:num w:numId="31" w16cid:durableId="1697926162">
    <w:abstractNumId w:val="5"/>
  </w:num>
  <w:num w:numId="32" w16cid:durableId="164128717">
    <w:abstractNumId w:val="25"/>
  </w:num>
  <w:num w:numId="33" w16cid:durableId="559709351">
    <w:abstractNumId w:val="14"/>
  </w:num>
  <w:num w:numId="34" w16cid:durableId="2075156268">
    <w:abstractNumId w:val="21"/>
  </w:num>
  <w:num w:numId="35" w16cid:durableId="667245628">
    <w:abstractNumId w:val="10"/>
  </w:num>
  <w:num w:numId="36" w16cid:durableId="564803411">
    <w:abstractNumId w:val="24"/>
  </w:num>
  <w:num w:numId="37" w16cid:durableId="520357715">
    <w:abstractNumId w:val="18"/>
  </w:num>
  <w:num w:numId="38" w16cid:durableId="1923025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C51"/>
    <w:rsid w:val="000031EF"/>
    <w:rsid w:val="00004725"/>
    <w:rsid w:val="000055C3"/>
    <w:rsid w:val="0000599A"/>
    <w:rsid w:val="00006C25"/>
    <w:rsid w:val="00010B89"/>
    <w:rsid w:val="000118CD"/>
    <w:rsid w:val="00013390"/>
    <w:rsid w:val="00017299"/>
    <w:rsid w:val="00017E4B"/>
    <w:rsid w:val="00025A88"/>
    <w:rsid w:val="00026782"/>
    <w:rsid w:val="00027122"/>
    <w:rsid w:val="000319A1"/>
    <w:rsid w:val="00032C8E"/>
    <w:rsid w:val="00033544"/>
    <w:rsid w:val="00034C53"/>
    <w:rsid w:val="00034C70"/>
    <w:rsid w:val="00035F9C"/>
    <w:rsid w:val="0003710A"/>
    <w:rsid w:val="00040C17"/>
    <w:rsid w:val="000431C5"/>
    <w:rsid w:val="000445B8"/>
    <w:rsid w:val="0004582F"/>
    <w:rsid w:val="0005220A"/>
    <w:rsid w:val="00052313"/>
    <w:rsid w:val="00060399"/>
    <w:rsid w:val="00060718"/>
    <w:rsid w:val="00061A67"/>
    <w:rsid w:val="00064F51"/>
    <w:rsid w:val="000658F2"/>
    <w:rsid w:val="00065DEB"/>
    <w:rsid w:val="0006619A"/>
    <w:rsid w:val="0006675E"/>
    <w:rsid w:val="00067E0B"/>
    <w:rsid w:val="000719A5"/>
    <w:rsid w:val="000737CC"/>
    <w:rsid w:val="000748A0"/>
    <w:rsid w:val="00075DC0"/>
    <w:rsid w:val="00080B76"/>
    <w:rsid w:val="00080CDD"/>
    <w:rsid w:val="00081592"/>
    <w:rsid w:val="000816BD"/>
    <w:rsid w:val="00082162"/>
    <w:rsid w:val="00082DF7"/>
    <w:rsid w:val="00083369"/>
    <w:rsid w:val="00084EDD"/>
    <w:rsid w:val="00085FE9"/>
    <w:rsid w:val="00086071"/>
    <w:rsid w:val="00090A38"/>
    <w:rsid w:val="00091E0F"/>
    <w:rsid w:val="0009246D"/>
    <w:rsid w:val="0009256F"/>
    <w:rsid w:val="00097CDF"/>
    <w:rsid w:val="000A0044"/>
    <w:rsid w:val="000A08EF"/>
    <w:rsid w:val="000A3177"/>
    <w:rsid w:val="000A6D08"/>
    <w:rsid w:val="000A75C1"/>
    <w:rsid w:val="000B1B44"/>
    <w:rsid w:val="000B40F3"/>
    <w:rsid w:val="000B5964"/>
    <w:rsid w:val="000C00D0"/>
    <w:rsid w:val="000C3BB5"/>
    <w:rsid w:val="000C5BC4"/>
    <w:rsid w:val="000D25D4"/>
    <w:rsid w:val="000D2681"/>
    <w:rsid w:val="000D34B5"/>
    <w:rsid w:val="000D6EB3"/>
    <w:rsid w:val="000D719C"/>
    <w:rsid w:val="000E0533"/>
    <w:rsid w:val="000E05C8"/>
    <w:rsid w:val="000E09A5"/>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073D7"/>
    <w:rsid w:val="00110568"/>
    <w:rsid w:val="00110D3A"/>
    <w:rsid w:val="0011200E"/>
    <w:rsid w:val="00113090"/>
    <w:rsid w:val="00113F97"/>
    <w:rsid w:val="00114701"/>
    <w:rsid w:val="001163C3"/>
    <w:rsid w:val="0012196B"/>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177D"/>
    <w:rsid w:val="001636F7"/>
    <w:rsid w:val="0016592F"/>
    <w:rsid w:val="001659AA"/>
    <w:rsid w:val="00165CBD"/>
    <w:rsid w:val="0017022A"/>
    <w:rsid w:val="0017097B"/>
    <w:rsid w:val="00175D0F"/>
    <w:rsid w:val="001766F9"/>
    <w:rsid w:val="00182096"/>
    <w:rsid w:val="0018253D"/>
    <w:rsid w:val="00183FEA"/>
    <w:rsid w:val="00185134"/>
    <w:rsid w:val="00185B54"/>
    <w:rsid w:val="00185D28"/>
    <w:rsid w:val="0019010A"/>
    <w:rsid w:val="00192400"/>
    <w:rsid w:val="001977DE"/>
    <w:rsid w:val="001A033E"/>
    <w:rsid w:val="001A071C"/>
    <w:rsid w:val="001A15FF"/>
    <w:rsid w:val="001A2943"/>
    <w:rsid w:val="001A6261"/>
    <w:rsid w:val="001A6DDA"/>
    <w:rsid w:val="001A73F8"/>
    <w:rsid w:val="001B2807"/>
    <w:rsid w:val="001B5075"/>
    <w:rsid w:val="001B64AC"/>
    <w:rsid w:val="001C18CF"/>
    <w:rsid w:val="001C1CAE"/>
    <w:rsid w:val="001C20FE"/>
    <w:rsid w:val="001C4F30"/>
    <w:rsid w:val="001C6221"/>
    <w:rsid w:val="001C6842"/>
    <w:rsid w:val="001C6D83"/>
    <w:rsid w:val="001D11E8"/>
    <w:rsid w:val="001D4DBD"/>
    <w:rsid w:val="001D69B3"/>
    <w:rsid w:val="001E2FDE"/>
    <w:rsid w:val="001E441E"/>
    <w:rsid w:val="001E56FB"/>
    <w:rsid w:val="001E5FF2"/>
    <w:rsid w:val="001F65B3"/>
    <w:rsid w:val="001F65D5"/>
    <w:rsid w:val="001F68F2"/>
    <w:rsid w:val="001F6CF5"/>
    <w:rsid w:val="001F7EF6"/>
    <w:rsid w:val="00200519"/>
    <w:rsid w:val="0020169B"/>
    <w:rsid w:val="002031C3"/>
    <w:rsid w:val="00203E48"/>
    <w:rsid w:val="00204F72"/>
    <w:rsid w:val="0020573A"/>
    <w:rsid w:val="00207581"/>
    <w:rsid w:val="00214984"/>
    <w:rsid w:val="00215B28"/>
    <w:rsid w:val="00216228"/>
    <w:rsid w:val="0022135A"/>
    <w:rsid w:val="002213C6"/>
    <w:rsid w:val="00225B52"/>
    <w:rsid w:val="00231712"/>
    <w:rsid w:val="00231994"/>
    <w:rsid w:val="002320BA"/>
    <w:rsid w:val="0023241D"/>
    <w:rsid w:val="00232596"/>
    <w:rsid w:val="00232FAE"/>
    <w:rsid w:val="0023308D"/>
    <w:rsid w:val="002356D4"/>
    <w:rsid w:val="00235F10"/>
    <w:rsid w:val="00237DE0"/>
    <w:rsid w:val="00237FCC"/>
    <w:rsid w:val="0024054C"/>
    <w:rsid w:val="00241D4B"/>
    <w:rsid w:val="00243536"/>
    <w:rsid w:val="00246D3B"/>
    <w:rsid w:val="00247A04"/>
    <w:rsid w:val="00255764"/>
    <w:rsid w:val="002571D5"/>
    <w:rsid w:val="00257562"/>
    <w:rsid w:val="00257884"/>
    <w:rsid w:val="0026226D"/>
    <w:rsid w:val="0026233A"/>
    <w:rsid w:val="00265C91"/>
    <w:rsid w:val="00265E4E"/>
    <w:rsid w:val="002661D7"/>
    <w:rsid w:val="0027043E"/>
    <w:rsid w:val="002715D4"/>
    <w:rsid w:val="00272866"/>
    <w:rsid w:val="00273C58"/>
    <w:rsid w:val="00273C68"/>
    <w:rsid w:val="00274D0A"/>
    <w:rsid w:val="0028078A"/>
    <w:rsid w:val="002816C5"/>
    <w:rsid w:val="00282456"/>
    <w:rsid w:val="00282B3F"/>
    <w:rsid w:val="00282FBC"/>
    <w:rsid w:val="00283B06"/>
    <w:rsid w:val="00286B3B"/>
    <w:rsid w:val="002A05D9"/>
    <w:rsid w:val="002A2843"/>
    <w:rsid w:val="002A3623"/>
    <w:rsid w:val="002A364B"/>
    <w:rsid w:val="002A3D8C"/>
    <w:rsid w:val="002A43DD"/>
    <w:rsid w:val="002A5736"/>
    <w:rsid w:val="002B0438"/>
    <w:rsid w:val="002B0B65"/>
    <w:rsid w:val="002B2FB7"/>
    <w:rsid w:val="002B4A27"/>
    <w:rsid w:val="002B58F5"/>
    <w:rsid w:val="002C28B5"/>
    <w:rsid w:val="002C56E7"/>
    <w:rsid w:val="002C65DF"/>
    <w:rsid w:val="002C6A49"/>
    <w:rsid w:val="002D11DF"/>
    <w:rsid w:val="002D2062"/>
    <w:rsid w:val="002D41F6"/>
    <w:rsid w:val="002D4B35"/>
    <w:rsid w:val="002D5563"/>
    <w:rsid w:val="002E0A07"/>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1C92"/>
    <w:rsid w:val="00304465"/>
    <w:rsid w:val="00304613"/>
    <w:rsid w:val="00306797"/>
    <w:rsid w:val="003118C0"/>
    <w:rsid w:val="00313AB1"/>
    <w:rsid w:val="00315268"/>
    <w:rsid w:val="00317284"/>
    <w:rsid w:val="0032090F"/>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E00"/>
    <w:rsid w:val="00347414"/>
    <w:rsid w:val="00352423"/>
    <w:rsid w:val="00354A10"/>
    <w:rsid w:val="00355A56"/>
    <w:rsid w:val="003563D2"/>
    <w:rsid w:val="00360F32"/>
    <w:rsid w:val="00366C04"/>
    <w:rsid w:val="0037381F"/>
    <w:rsid w:val="0037616F"/>
    <w:rsid w:val="003774D6"/>
    <w:rsid w:val="00377C12"/>
    <w:rsid w:val="00382463"/>
    <w:rsid w:val="003905C6"/>
    <w:rsid w:val="00393704"/>
    <w:rsid w:val="0039512E"/>
    <w:rsid w:val="00395A11"/>
    <w:rsid w:val="0039600B"/>
    <w:rsid w:val="003A6C26"/>
    <w:rsid w:val="003A7DE6"/>
    <w:rsid w:val="003B2197"/>
    <w:rsid w:val="003B249A"/>
    <w:rsid w:val="003B2CC9"/>
    <w:rsid w:val="003B3349"/>
    <w:rsid w:val="003B390E"/>
    <w:rsid w:val="003B51A6"/>
    <w:rsid w:val="003B560E"/>
    <w:rsid w:val="003B64CB"/>
    <w:rsid w:val="003B6DA1"/>
    <w:rsid w:val="003B6ECA"/>
    <w:rsid w:val="003B6FC5"/>
    <w:rsid w:val="003C15F6"/>
    <w:rsid w:val="003C240D"/>
    <w:rsid w:val="003C309A"/>
    <w:rsid w:val="003C4A99"/>
    <w:rsid w:val="003C7070"/>
    <w:rsid w:val="003D31F1"/>
    <w:rsid w:val="003D4548"/>
    <w:rsid w:val="003D65C9"/>
    <w:rsid w:val="003E022C"/>
    <w:rsid w:val="003E26AB"/>
    <w:rsid w:val="003E2AE3"/>
    <w:rsid w:val="003E331B"/>
    <w:rsid w:val="003E5A89"/>
    <w:rsid w:val="003E74BC"/>
    <w:rsid w:val="003E7B79"/>
    <w:rsid w:val="003F2D68"/>
    <w:rsid w:val="003F5299"/>
    <w:rsid w:val="003F73EC"/>
    <w:rsid w:val="003F74E5"/>
    <w:rsid w:val="003F7815"/>
    <w:rsid w:val="00401B0B"/>
    <w:rsid w:val="004032DB"/>
    <w:rsid w:val="00403EB2"/>
    <w:rsid w:val="004047AA"/>
    <w:rsid w:val="00404945"/>
    <w:rsid w:val="00405201"/>
    <w:rsid w:val="00410194"/>
    <w:rsid w:val="004119A8"/>
    <w:rsid w:val="00412106"/>
    <w:rsid w:val="00412B17"/>
    <w:rsid w:val="00416B39"/>
    <w:rsid w:val="00417106"/>
    <w:rsid w:val="00425E51"/>
    <w:rsid w:val="0042612F"/>
    <w:rsid w:val="00431123"/>
    <w:rsid w:val="004357BD"/>
    <w:rsid w:val="00437C23"/>
    <w:rsid w:val="00437DB1"/>
    <w:rsid w:val="00441F29"/>
    <w:rsid w:val="00441FE3"/>
    <w:rsid w:val="00445A39"/>
    <w:rsid w:val="004506EC"/>
    <w:rsid w:val="00450AA6"/>
    <w:rsid w:val="00452512"/>
    <w:rsid w:val="00452CFD"/>
    <w:rsid w:val="00453CE0"/>
    <w:rsid w:val="004543ED"/>
    <w:rsid w:val="00463AB2"/>
    <w:rsid w:val="0047200F"/>
    <w:rsid w:val="00474976"/>
    <w:rsid w:val="00474AB6"/>
    <w:rsid w:val="004750C1"/>
    <w:rsid w:val="004768E8"/>
    <w:rsid w:val="00476A0C"/>
    <w:rsid w:val="00477409"/>
    <w:rsid w:val="0048119B"/>
    <w:rsid w:val="00481C77"/>
    <w:rsid w:val="00485772"/>
    <w:rsid w:val="00485AA9"/>
    <w:rsid w:val="00486080"/>
    <w:rsid w:val="0048726C"/>
    <w:rsid w:val="0049029A"/>
    <w:rsid w:val="0049319A"/>
    <w:rsid w:val="00494DB3"/>
    <w:rsid w:val="00495A69"/>
    <w:rsid w:val="004966AD"/>
    <w:rsid w:val="00497E2D"/>
    <w:rsid w:val="004A0A6B"/>
    <w:rsid w:val="004A0F6A"/>
    <w:rsid w:val="004A202F"/>
    <w:rsid w:val="004B389C"/>
    <w:rsid w:val="004B3D01"/>
    <w:rsid w:val="004B5787"/>
    <w:rsid w:val="004B7754"/>
    <w:rsid w:val="004C4469"/>
    <w:rsid w:val="004C586B"/>
    <w:rsid w:val="004C6065"/>
    <w:rsid w:val="004C611E"/>
    <w:rsid w:val="004C6FFD"/>
    <w:rsid w:val="004C78C5"/>
    <w:rsid w:val="004D4484"/>
    <w:rsid w:val="004D4EF2"/>
    <w:rsid w:val="004E084D"/>
    <w:rsid w:val="004E2D89"/>
    <w:rsid w:val="004E3446"/>
    <w:rsid w:val="004E4A23"/>
    <w:rsid w:val="004E6B90"/>
    <w:rsid w:val="004E758C"/>
    <w:rsid w:val="004F0BEC"/>
    <w:rsid w:val="004F4AC5"/>
    <w:rsid w:val="004F5686"/>
    <w:rsid w:val="00503A1C"/>
    <w:rsid w:val="005048D1"/>
    <w:rsid w:val="0050566B"/>
    <w:rsid w:val="005066B5"/>
    <w:rsid w:val="00506826"/>
    <w:rsid w:val="00512FEC"/>
    <w:rsid w:val="00514AC0"/>
    <w:rsid w:val="00515020"/>
    <w:rsid w:val="00520193"/>
    <w:rsid w:val="005223B1"/>
    <w:rsid w:val="005231A8"/>
    <w:rsid w:val="00523B29"/>
    <w:rsid w:val="00523DF2"/>
    <w:rsid w:val="00524D94"/>
    <w:rsid w:val="00530113"/>
    <w:rsid w:val="00532531"/>
    <w:rsid w:val="00534733"/>
    <w:rsid w:val="00535E30"/>
    <w:rsid w:val="0053720B"/>
    <w:rsid w:val="00541682"/>
    <w:rsid w:val="005462A1"/>
    <w:rsid w:val="0054665F"/>
    <w:rsid w:val="00550F3D"/>
    <w:rsid w:val="00554688"/>
    <w:rsid w:val="00555D7F"/>
    <w:rsid w:val="00556410"/>
    <w:rsid w:val="005616DE"/>
    <w:rsid w:val="00561F53"/>
    <w:rsid w:val="00561F97"/>
    <w:rsid w:val="0056236E"/>
    <w:rsid w:val="00562F4C"/>
    <w:rsid w:val="0056655B"/>
    <w:rsid w:val="00570881"/>
    <w:rsid w:val="005709A7"/>
    <w:rsid w:val="00572116"/>
    <w:rsid w:val="00574C8D"/>
    <w:rsid w:val="00574F2F"/>
    <w:rsid w:val="0057500A"/>
    <w:rsid w:val="00575B63"/>
    <w:rsid w:val="00576EF7"/>
    <w:rsid w:val="005829FE"/>
    <w:rsid w:val="005837DD"/>
    <w:rsid w:val="0058628A"/>
    <w:rsid w:val="00587822"/>
    <w:rsid w:val="005878F6"/>
    <w:rsid w:val="00590E74"/>
    <w:rsid w:val="00591E25"/>
    <w:rsid w:val="00593EC9"/>
    <w:rsid w:val="005947E5"/>
    <w:rsid w:val="00595854"/>
    <w:rsid w:val="00596959"/>
    <w:rsid w:val="005A01EE"/>
    <w:rsid w:val="005A0A2A"/>
    <w:rsid w:val="005A1B75"/>
    <w:rsid w:val="005A2DDE"/>
    <w:rsid w:val="005A7E87"/>
    <w:rsid w:val="005B0510"/>
    <w:rsid w:val="005B09E3"/>
    <w:rsid w:val="005B0F21"/>
    <w:rsid w:val="005B2606"/>
    <w:rsid w:val="005B6674"/>
    <w:rsid w:val="005B670F"/>
    <w:rsid w:val="005C02F2"/>
    <w:rsid w:val="005C565B"/>
    <w:rsid w:val="005C5B67"/>
    <w:rsid w:val="005C6245"/>
    <w:rsid w:val="005C67EA"/>
    <w:rsid w:val="005C76B4"/>
    <w:rsid w:val="005D05AB"/>
    <w:rsid w:val="005D0CC4"/>
    <w:rsid w:val="005D36CA"/>
    <w:rsid w:val="005D5313"/>
    <w:rsid w:val="005E1380"/>
    <w:rsid w:val="005E2BCD"/>
    <w:rsid w:val="005E325F"/>
    <w:rsid w:val="005E3697"/>
    <w:rsid w:val="005E4C90"/>
    <w:rsid w:val="005E661A"/>
    <w:rsid w:val="005F2B83"/>
    <w:rsid w:val="005F39DB"/>
    <w:rsid w:val="005F55BE"/>
    <w:rsid w:val="00600999"/>
    <w:rsid w:val="006009D6"/>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357B"/>
    <w:rsid w:val="0063649B"/>
    <w:rsid w:val="00637621"/>
    <w:rsid w:val="00637BB4"/>
    <w:rsid w:val="006408BF"/>
    <w:rsid w:val="00645699"/>
    <w:rsid w:val="00646F26"/>
    <w:rsid w:val="0064710C"/>
    <w:rsid w:val="00647E95"/>
    <w:rsid w:val="006502B2"/>
    <w:rsid w:val="00650A87"/>
    <w:rsid w:val="0065104E"/>
    <w:rsid w:val="0065285E"/>
    <w:rsid w:val="00654AA1"/>
    <w:rsid w:val="00657444"/>
    <w:rsid w:val="00657AC1"/>
    <w:rsid w:val="00657EB5"/>
    <w:rsid w:val="00660514"/>
    <w:rsid w:val="00662B9F"/>
    <w:rsid w:val="006644A7"/>
    <w:rsid w:val="00666085"/>
    <w:rsid w:val="00666235"/>
    <w:rsid w:val="0067098E"/>
    <w:rsid w:val="00670BB3"/>
    <w:rsid w:val="006712B2"/>
    <w:rsid w:val="00671A70"/>
    <w:rsid w:val="006724E6"/>
    <w:rsid w:val="00672A6F"/>
    <w:rsid w:val="00674AE1"/>
    <w:rsid w:val="0067544A"/>
    <w:rsid w:val="00680383"/>
    <w:rsid w:val="00681D60"/>
    <w:rsid w:val="00682998"/>
    <w:rsid w:val="006849D6"/>
    <w:rsid w:val="00692FFB"/>
    <w:rsid w:val="00694BEE"/>
    <w:rsid w:val="00696CA6"/>
    <w:rsid w:val="00697CE4"/>
    <w:rsid w:val="006A0430"/>
    <w:rsid w:val="006A1ED7"/>
    <w:rsid w:val="006A2412"/>
    <w:rsid w:val="006A2C9D"/>
    <w:rsid w:val="006A3196"/>
    <w:rsid w:val="006A4507"/>
    <w:rsid w:val="006B1527"/>
    <w:rsid w:val="006B2C23"/>
    <w:rsid w:val="006B66C3"/>
    <w:rsid w:val="006B7AA9"/>
    <w:rsid w:val="006C2500"/>
    <w:rsid w:val="006C48C7"/>
    <w:rsid w:val="006C6875"/>
    <w:rsid w:val="006C6EB1"/>
    <w:rsid w:val="006C7AE8"/>
    <w:rsid w:val="006D503D"/>
    <w:rsid w:val="006D5044"/>
    <w:rsid w:val="006E0BCF"/>
    <w:rsid w:val="006E33FC"/>
    <w:rsid w:val="006E3403"/>
    <w:rsid w:val="006E3CA0"/>
    <w:rsid w:val="006E5A90"/>
    <w:rsid w:val="006F10EA"/>
    <w:rsid w:val="006F2406"/>
    <w:rsid w:val="006F3BC7"/>
    <w:rsid w:val="006F461F"/>
    <w:rsid w:val="006F53F4"/>
    <w:rsid w:val="006F5A22"/>
    <w:rsid w:val="006F6B09"/>
    <w:rsid w:val="0070039C"/>
    <w:rsid w:val="007020B4"/>
    <w:rsid w:val="00702EB4"/>
    <w:rsid w:val="007033D9"/>
    <w:rsid w:val="00704AD8"/>
    <w:rsid w:val="00705DFD"/>
    <w:rsid w:val="00705F29"/>
    <w:rsid w:val="007069A8"/>
    <w:rsid w:val="00710A61"/>
    <w:rsid w:val="00713AE4"/>
    <w:rsid w:val="007156EF"/>
    <w:rsid w:val="007169AF"/>
    <w:rsid w:val="007206CD"/>
    <w:rsid w:val="00722B7B"/>
    <w:rsid w:val="00727C74"/>
    <w:rsid w:val="00727EEF"/>
    <w:rsid w:val="00731536"/>
    <w:rsid w:val="00732AF2"/>
    <w:rsid w:val="007331F8"/>
    <w:rsid w:val="00735534"/>
    <w:rsid w:val="00735E52"/>
    <w:rsid w:val="00737903"/>
    <w:rsid w:val="007441C2"/>
    <w:rsid w:val="007443CA"/>
    <w:rsid w:val="007464AB"/>
    <w:rsid w:val="00747591"/>
    <w:rsid w:val="0075041C"/>
    <w:rsid w:val="00750688"/>
    <w:rsid w:val="00750F05"/>
    <w:rsid w:val="00752508"/>
    <w:rsid w:val="0075258A"/>
    <w:rsid w:val="00755DEA"/>
    <w:rsid w:val="00756455"/>
    <w:rsid w:val="00756E80"/>
    <w:rsid w:val="007577B2"/>
    <w:rsid w:val="007578C6"/>
    <w:rsid w:val="00762084"/>
    <w:rsid w:val="007628BE"/>
    <w:rsid w:val="00762B2E"/>
    <w:rsid w:val="00766688"/>
    <w:rsid w:val="00767304"/>
    <w:rsid w:val="007702A9"/>
    <w:rsid w:val="00770EC7"/>
    <w:rsid w:val="00771277"/>
    <w:rsid w:val="00771A2C"/>
    <w:rsid w:val="00773A4F"/>
    <w:rsid w:val="00774083"/>
    <w:rsid w:val="007746A7"/>
    <w:rsid w:val="00774FDF"/>
    <w:rsid w:val="007756DF"/>
    <w:rsid w:val="00777D80"/>
    <w:rsid w:val="007807C6"/>
    <w:rsid w:val="00781F71"/>
    <w:rsid w:val="00782F36"/>
    <w:rsid w:val="007869BC"/>
    <w:rsid w:val="00786A07"/>
    <w:rsid w:val="00787155"/>
    <w:rsid w:val="007879FF"/>
    <w:rsid w:val="00787C77"/>
    <w:rsid w:val="007901B0"/>
    <w:rsid w:val="00790644"/>
    <w:rsid w:val="00790A29"/>
    <w:rsid w:val="0079161F"/>
    <w:rsid w:val="00794CEC"/>
    <w:rsid w:val="00795D13"/>
    <w:rsid w:val="007A264F"/>
    <w:rsid w:val="007A2976"/>
    <w:rsid w:val="007A4866"/>
    <w:rsid w:val="007B032D"/>
    <w:rsid w:val="007B1A53"/>
    <w:rsid w:val="007B267F"/>
    <w:rsid w:val="007B4E4D"/>
    <w:rsid w:val="007B5C46"/>
    <w:rsid w:val="007B6325"/>
    <w:rsid w:val="007B70CA"/>
    <w:rsid w:val="007B71B7"/>
    <w:rsid w:val="007B7726"/>
    <w:rsid w:val="007B79DB"/>
    <w:rsid w:val="007B7BAC"/>
    <w:rsid w:val="007C0B59"/>
    <w:rsid w:val="007C23B2"/>
    <w:rsid w:val="007C2552"/>
    <w:rsid w:val="007C39AC"/>
    <w:rsid w:val="007C3EC5"/>
    <w:rsid w:val="007C4C1D"/>
    <w:rsid w:val="007C5399"/>
    <w:rsid w:val="007C58F2"/>
    <w:rsid w:val="007C5C8E"/>
    <w:rsid w:val="007C60C1"/>
    <w:rsid w:val="007C6427"/>
    <w:rsid w:val="007C6D7C"/>
    <w:rsid w:val="007D02E1"/>
    <w:rsid w:val="007D14B6"/>
    <w:rsid w:val="007D3990"/>
    <w:rsid w:val="007D4781"/>
    <w:rsid w:val="007D5C6F"/>
    <w:rsid w:val="007D6ADD"/>
    <w:rsid w:val="007D7270"/>
    <w:rsid w:val="007E331D"/>
    <w:rsid w:val="007E3BE2"/>
    <w:rsid w:val="007E505D"/>
    <w:rsid w:val="007E6267"/>
    <w:rsid w:val="007E6585"/>
    <w:rsid w:val="007F0FB9"/>
    <w:rsid w:val="007F1A39"/>
    <w:rsid w:val="007F1BCD"/>
    <w:rsid w:val="007F1D9D"/>
    <w:rsid w:val="007F3E87"/>
    <w:rsid w:val="007F6EDD"/>
    <w:rsid w:val="007F77F4"/>
    <w:rsid w:val="00800017"/>
    <w:rsid w:val="00800665"/>
    <w:rsid w:val="008061E0"/>
    <w:rsid w:val="00806CD3"/>
    <w:rsid w:val="008074BE"/>
    <w:rsid w:val="00811963"/>
    <w:rsid w:val="0081272A"/>
    <w:rsid w:val="008148FD"/>
    <w:rsid w:val="00817F58"/>
    <w:rsid w:val="00821ABA"/>
    <w:rsid w:val="0082240E"/>
    <w:rsid w:val="00823535"/>
    <w:rsid w:val="0082522A"/>
    <w:rsid w:val="00825797"/>
    <w:rsid w:val="00826779"/>
    <w:rsid w:val="0083349A"/>
    <w:rsid w:val="008334C8"/>
    <w:rsid w:val="00833C87"/>
    <w:rsid w:val="00835997"/>
    <w:rsid w:val="00835F4D"/>
    <w:rsid w:val="00841A74"/>
    <w:rsid w:val="008426CA"/>
    <w:rsid w:val="00843E81"/>
    <w:rsid w:val="00845462"/>
    <w:rsid w:val="00846EA1"/>
    <w:rsid w:val="00851937"/>
    <w:rsid w:val="00854A0E"/>
    <w:rsid w:val="00856ABB"/>
    <w:rsid w:val="00857073"/>
    <w:rsid w:val="008608E0"/>
    <w:rsid w:val="0086422A"/>
    <w:rsid w:val="00864ABF"/>
    <w:rsid w:val="008661E4"/>
    <w:rsid w:val="00866274"/>
    <w:rsid w:val="00866366"/>
    <w:rsid w:val="00867B04"/>
    <w:rsid w:val="0087160D"/>
    <w:rsid w:val="00873166"/>
    <w:rsid w:val="00873AFD"/>
    <w:rsid w:val="00873C36"/>
    <w:rsid w:val="0087409D"/>
    <w:rsid w:val="00876067"/>
    <w:rsid w:val="00883912"/>
    <w:rsid w:val="008840C0"/>
    <w:rsid w:val="00884332"/>
    <w:rsid w:val="00885DDD"/>
    <w:rsid w:val="008901AA"/>
    <w:rsid w:val="00890255"/>
    <w:rsid w:val="0089179C"/>
    <w:rsid w:val="00895E0F"/>
    <w:rsid w:val="00896575"/>
    <w:rsid w:val="008967F5"/>
    <w:rsid w:val="00896EB7"/>
    <w:rsid w:val="008A05D0"/>
    <w:rsid w:val="008A0C1C"/>
    <w:rsid w:val="008A13E4"/>
    <w:rsid w:val="008A4B13"/>
    <w:rsid w:val="008A6D88"/>
    <w:rsid w:val="008A7D5D"/>
    <w:rsid w:val="008B19BD"/>
    <w:rsid w:val="008B4407"/>
    <w:rsid w:val="008B544A"/>
    <w:rsid w:val="008B6608"/>
    <w:rsid w:val="008B7385"/>
    <w:rsid w:val="008B77EB"/>
    <w:rsid w:val="008C15AF"/>
    <w:rsid w:val="008C74FA"/>
    <w:rsid w:val="008C7C4A"/>
    <w:rsid w:val="008D4716"/>
    <w:rsid w:val="008D5C30"/>
    <w:rsid w:val="008E02B7"/>
    <w:rsid w:val="008E0DC5"/>
    <w:rsid w:val="008E280C"/>
    <w:rsid w:val="008E2B3D"/>
    <w:rsid w:val="008E2E08"/>
    <w:rsid w:val="008E5F82"/>
    <w:rsid w:val="008F0135"/>
    <w:rsid w:val="008F2DD7"/>
    <w:rsid w:val="008F4611"/>
    <w:rsid w:val="008F67D5"/>
    <w:rsid w:val="00900C89"/>
    <w:rsid w:val="00900FD7"/>
    <w:rsid w:val="009028D9"/>
    <w:rsid w:val="0090355F"/>
    <w:rsid w:val="00903B13"/>
    <w:rsid w:val="00904ACB"/>
    <w:rsid w:val="00905A4B"/>
    <w:rsid w:val="00905C77"/>
    <w:rsid w:val="00906E3C"/>
    <w:rsid w:val="0090753E"/>
    <w:rsid w:val="00910C59"/>
    <w:rsid w:val="00911834"/>
    <w:rsid w:val="00912C72"/>
    <w:rsid w:val="0091479B"/>
    <w:rsid w:val="009173E5"/>
    <w:rsid w:val="00920270"/>
    <w:rsid w:val="009205FF"/>
    <w:rsid w:val="00920C6B"/>
    <w:rsid w:val="00922194"/>
    <w:rsid w:val="00923FC3"/>
    <w:rsid w:val="0092520E"/>
    <w:rsid w:val="009263CA"/>
    <w:rsid w:val="00926737"/>
    <w:rsid w:val="009278CB"/>
    <w:rsid w:val="0093392C"/>
    <w:rsid w:val="00935C63"/>
    <w:rsid w:val="00935F8E"/>
    <w:rsid w:val="00940992"/>
    <w:rsid w:val="00940BCB"/>
    <w:rsid w:val="00940BCF"/>
    <w:rsid w:val="00941FC7"/>
    <w:rsid w:val="009425E5"/>
    <w:rsid w:val="00942E2B"/>
    <w:rsid w:val="0094308D"/>
    <w:rsid w:val="00945D12"/>
    <w:rsid w:val="00947C2D"/>
    <w:rsid w:val="00952B4D"/>
    <w:rsid w:val="009531A0"/>
    <w:rsid w:val="009533B4"/>
    <w:rsid w:val="00953F37"/>
    <w:rsid w:val="00957CB2"/>
    <w:rsid w:val="0096155D"/>
    <w:rsid w:val="00963524"/>
    <w:rsid w:val="00964089"/>
    <w:rsid w:val="0096678C"/>
    <w:rsid w:val="00970D2E"/>
    <w:rsid w:val="009717BF"/>
    <w:rsid w:val="0097327C"/>
    <w:rsid w:val="009736C0"/>
    <w:rsid w:val="0097462C"/>
    <w:rsid w:val="0097668F"/>
    <w:rsid w:val="00976F69"/>
    <w:rsid w:val="009804E9"/>
    <w:rsid w:val="0098096C"/>
    <w:rsid w:val="00980AA0"/>
    <w:rsid w:val="00980B64"/>
    <w:rsid w:val="00981A92"/>
    <w:rsid w:val="009827C6"/>
    <w:rsid w:val="009832EB"/>
    <w:rsid w:val="009837F7"/>
    <w:rsid w:val="0098386B"/>
    <w:rsid w:val="00985E78"/>
    <w:rsid w:val="0098794B"/>
    <w:rsid w:val="009905D6"/>
    <w:rsid w:val="009911AA"/>
    <w:rsid w:val="0099140E"/>
    <w:rsid w:val="0099674A"/>
    <w:rsid w:val="009A03DB"/>
    <w:rsid w:val="009A1ACF"/>
    <w:rsid w:val="009A1DDC"/>
    <w:rsid w:val="009A6B84"/>
    <w:rsid w:val="009A7F76"/>
    <w:rsid w:val="009B21A8"/>
    <w:rsid w:val="009B2FB5"/>
    <w:rsid w:val="009B33B9"/>
    <w:rsid w:val="009B3E05"/>
    <w:rsid w:val="009B4B8B"/>
    <w:rsid w:val="009B6163"/>
    <w:rsid w:val="009B7ED9"/>
    <w:rsid w:val="009C088C"/>
    <w:rsid w:val="009C32D0"/>
    <w:rsid w:val="009C35A4"/>
    <w:rsid w:val="009C3A1D"/>
    <w:rsid w:val="009C3D63"/>
    <w:rsid w:val="009C4102"/>
    <w:rsid w:val="009C5BA0"/>
    <w:rsid w:val="009D31DF"/>
    <w:rsid w:val="009D460D"/>
    <w:rsid w:val="009E05CD"/>
    <w:rsid w:val="009E4F85"/>
    <w:rsid w:val="009E511B"/>
    <w:rsid w:val="009E51C9"/>
    <w:rsid w:val="009F1EFE"/>
    <w:rsid w:val="009F2CE4"/>
    <w:rsid w:val="009F42E1"/>
    <w:rsid w:val="009F49EA"/>
    <w:rsid w:val="009F5659"/>
    <w:rsid w:val="00A02887"/>
    <w:rsid w:val="00A02E57"/>
    <w:rsid w:val="00A033D7"/>
    <w:rsid w:val="00A03BA7"/>
    <w:rsid w:val="00A057C4"/>
    <w:rsid w:val="00A05A4D"/>
    <w:rsid w:val="00A05AB4"/>
    <w:rsid w:val="00A06658"/>
    <w:rsid w:val="00A070D7"/>
    <w:rsid w:val="00A10B6F"/>
    <w:rsid w:val="00A12E09"/>
    <w:rsid w:val="00A13907"/>
    <w:rsid w:val="00A14C22"/>
    <w:rsid w:val="00A25EB2"/>
    <w:rsid w:val="00A265E3"/>
    <w:rsid w:val="00A27DE2"/>
    <w:rsid w:val="00A30AC2"/>
    <w:rsid w:val="00A33A67"/>
    <w:rsid w:val="00A403AD"/>
    <w:rsid w:val="00A4066C"/>
    <w:rsid w:val="00A40E60"/>
    <w:rsid w:val="00A4113A"/>
    <w:rsid w:val="00A42E72"/>
    <w:rsid w:val="00A45588"/>
    <w:rsid w:val="00A4607A"/>
    <w:rsid w:val="00A51679"/>
    <w:rsid w:val="00A529FA"/>
    <w:rsid w:val="00A52B09"/>
    <w:rsid w:val="00A54730"/>
    <w:rsid w:val="00A548F5"/>
    <w:rsid w:val="00A54BD1"/>
    <w:rsid w:val="00A56096"/>
    <w:rsid w:val="00A56440"/>
    <w:rsid w:val="00A56450"/>
    <w:rsid w:val="00A62B8D"/>
    <w:rsid w:val="00A62E0B"/>
    <w:rsid w:val="00A63491"/>
    <w:rsid w:val="00A6553E"/>
    <w:rsid w:val="00A7029E"/>
    <w:rsid w:val="00A7126E"/>
    <w:rsid w:val="00A72488"/>
    <w:rsid w:val="00A7294C"/>
    <w:rsid w:val="00A741B7"/>
    <w:rsid w:val="00A74B98"/>
    <w:rsid w:val="00A75239"/>
    <w:rsid w:val="00A7599F"/>
    <w:rsid w:val="00A7623D"/>
    <w:rsid w:val="00A820F1"/>
    <w:rsid w:val="00A82B4B"/>
    <w:rsid w:val="00A83DEF"/>
    <w:rsid w:val="00A9363C"/>
    <w:rsid w:val="00A9621A"/>
    <w:rsid w:val="00AA3077"/>
    <w:rsid w:val="00AA32C8"/>
    <w:rsid w:val="00AA36BB"/>
    <w:rsid w:val="00AA3FF4"/>
    <w:rsid w:val="00AA5676"/>
    <w:rsid w:val="00AA6564"/>
    <w:rsid w:val="00AA6FCA"/>
    <w:rsid w:val="00AB0D25"/>
    <w:rsid w:val="00AB2387"/>
    <w:rsid w:val="00AB346C"/>
    <w:rsid w:val="00AB37B5"/>
    <w:rsid w:val="00AB5A78"/>
    <w:rsid w:val="00AC010B"/>
    <w:rsid w:val="00AC0158"/>
    <w:rsid w:val="00AC1E38"/>
    <w:rsid w:val="00AC23E2"/>
    <w:rsid w:val="00AC2AF8"/>
    <w:rsid w:val="00AC333C"/>
    <w:rsid w:val="00AC389B"/>
    <w:rsid w:val="00AC523E"/>
    <w:rsid w:val="00AC65C5"/>
    <w:rsid w:val="00AC7D27"/>
    <w:rsid w:val="00AD035C"/>
    <w:rsid w:val="00AD1EB6"/>
    <w:rsid w:val="00AD2EC9"/>
    <w:rsid w:val="00AD35A8"/>
    <w:rsid w:val="00AD44D6"/>
    <w:rsid w:val="00AD5E20"/>
    <w:rsid w:val="00AD64A4"/>
    <w:rsid w:val="00AD6B3B"/>
    <w:rsid w:val="00AE018F"/>
    <w:rsid w:val="00AE0B67"/>
    <w:rsid w:val="00AE187B"/>
    <w:rsid w:val="00AE26F5"/>
    <w:rsid w:val="00AE3537"/>
    <w:rsid w:val="00AE3F49"/>
    <w:rsid w:val="00AF235A"/>
    <w:rsid w:val="00AF611A"/>
    <w:rsid w:val="00B00B27"/>
    <w:rsid w:val="00B00C8C"/>
    <w:rsid w:val="00B012D9"/>
    <w:rsid w:val="00B0184D"/>
    <w:rsid w:val="00B02B0A"/>
    <w:rsid w:val="00B03F1B"/>
    <w:rsid w:val="00B046E5"/>
    <w:rsid w:val="00B046EA"/>
    <w:rsid w:val="00B04D13"/>
    <w:rsid w:val="00B04D6D"/>
    <w:rsid w:val="00B14DDB"/>
    <w:rsid w:val="00B14E7A"/>
    <w:rsid w:val="00B154B8"/>
    <w:rsid w:val="00B17054"/>
    <w:rsid w:val="00B201CC"/>
    <w:rsid w:val="00B2190F"/>
    <w:rsid w:val="00B2296C"/>
    <w:rsid w:val="00B23A70"/>
    <w:rsid w:val="00B26B8D"/>
    <w:rsid w:val="00B302AD"/>
    <w:rsid w:val="00B308C0"/>
    <w:rsid w:val="00B31978"/>
    <w:rsid w:val="00B344A6"/>
    <w:rsid w:val="00B35F7A"/>
    <w:rsid w:val="00B36DD4"/>
    <w:rsid w:val="00B44A64"/>
    <w:rsid w:val="00B45A77"/>
    <w:rsid w:val="00B461D5"/>
    <w:rsid w:val="00B50AC3"/>
    <w:rsid w:val="00B5375D"/>
    <w:rsid w:val="00B53C2C"/>
    <w:rsid w:val="00B5440A"/>
    <w:rsid w:val="00B6146B"/>
    <w:rsid w:val="00B62948"/>
    <w:rsid w:val="00B64733"/>
    <w:rsid w:val="00B64CA2"/>
    <w:rsid w:val="00B64DE3"/>
    <w:rsid w:val="00B75F3E"/>
    <w:rsid w:val="00B76DB0"/>
    <w:rsid w:val="00B777B1"/>
    <w:rsid w:val="00B820A7"/>
    <w:rsid w:val="00B84521"/>
    <w:rsid w:val="00B848E4"/>
    <w:rsid w:val="00B87A2E"/>
    <w:rsid w:val="00B905CA"/>
    <w:rsid w:val="00B91BFA"/>
    <w:rsid w:val="00B91EC7"/>
    <w:rsid w:val="00B961F7"/>
    <w:rsid w:val="00B963A1"/>
    <w:rsid w:val="00BA0180"/>
    <w:rsid w:val="00BA1457"/>
    <w:rsid w:val="00BA3009"/>
    <w:rsid w:val="00BA6559"/>
    <w:rsid w:val="00BB080A"/>
    <w:rsid w:val="00BB37B9"/>
    <w:rsid w:val="00BB3C67"/>
    <w:rsid w:val="00BB3D08"/>
    <w:rsid w:val="00BB66E8"/>
    <w:rsid w:val="00BB6CBA"/>
    <w:rsid w:val="00BB7EC3"/>
    <w:rsid w:val="00BC07E0"/>
    <w:rsid w:val="00BC0FA4"/>
    <w:rsid w:val="00BC135C"/>
    <w:rsid w:val="00BC1E2E"/>
    <w:rsid w:val="00BC5A68"/>
    <w:rsid w:val="00BC7AE6"/>
    <w:rsid w:val="00BE1951"/>
    <w:rsid w:val="00BE267D"/>
    <w:rsid w:val="00BE2960"/>
    <w:rsid w:val="00BE4A26"/>
    <w:rsid w:val="00BE5883"/>
    <w:rsid w:val="00BE6EF6"/>
    <w:rsid w:val="00BE76AB"/>
    <w:rsid w:val="00C01CF5"/>
    <w:rsid w:val="00C01FFD"/>
    <w:rsid w:val="00C021AC"/>
    <w:rsid w:val="00C02687"/>
    <w:rsid w:val="00C0516E"/>
    <w:rsid w:val="00C0560F"/>
    <w:rsid w:val="00C073F3"/>
    <w:rsid w:val="00C10D94"/>
    <w:rsid w:val="00C14F80"/>
    <w:rsid w:val="00C161F8"/>
    <w:rsid w:val="00C16A4A"/>
    <w:rsid w:val="00C200DD"/>
    <w:rsid w:val="00C23624"/>
    <w:rsid w:val="00C25E55"/>
    <w:rsid w:val="00C26E0B"/>
    <w:rsid w:val="00C26F58"/>
    <w:rsid w:val="00C3375F"/>
    <w:rsid w:val="00C33998"/>
    <w:rsid w:val="00C34EE6"/>
    <w:rsid w:val="00C373AB"/>
    <w:rsid w:val="00C37980"/>
    <w:rsid w:val="00C40B1F"/>
    <w:rsid w:val="00C4149E"/>
    <w:rsid w:val="00C41939"/>
    <w:rsid w:val="00C450BC"/>
    <w:rsid w:val="00C45D23"/>
    <w:rsid w:val="00C46D98"/>
    <w:rsid w:val="00C47727"/>
    <w:rsid w:val="00C50747"/>
    <w:rsid w:val="00C51DE8"/>
    <w:rsid w:val="00C55047"/>
    <w:rsid w:val="00C571DF"/>
    <w:rsid w:val="00C57455"/>
    <w:rsid w:val="00C6051B"/>
    <w:rsid w:val="00C61B6B"/>
    <w:rsid w:val="00C62EFC"/>
    <w:rsid w:val="00C6503F"/>
    <w:rsid w:val="00C656D0"/>
    <w:rsid w:val="00C662E9"/>
    <w:rsid w:val="00C67E4A"/>
    <w:rsid w:val="00C70687"/>
    <w:rsid w:val="00C71CFC"/>
    <w:rsid w:val="00C72A49"/>
    <w:rsid w:val="00C73A5A"/>
    <w:rsid w:val="00C74028"/>
    <w:rsid w:val="00C742E6"/>
    <w:rsid w:val="00C75E37"/>
    <w:rsid w:val="00C7601A"/>
    <w:rsid w:val="00C76BED"/>
    <w:rsid w:val="00C818D1"/>
    <w:rsid w:val="00C81A70"/>
    <w:rsid w:val="00C849C1"/>
    <w:rsid w:val="00C90C4E"/>
    <w:rsid w:val="00C91424"/>
    <w:rsid w:val="00C941BE"/>
    <w:rsid w:val="00C96485"/>
    <w:rsid w:val="00C96BBC"/>
    <w:rsid w:val="00CA03C6"/>
    <w:rsid w:val="00CA1D8D"/>
    <w:rsid w:val="00CA2306"/>
    <w:rsid w:val="00CA2BE4"/>
    <w:rsid w:val="00CA3640"/>
    <w:rsid w:val="00CA5EBC"/>
    <w:rsid w:val="00CA69F1"/>
    <w:rsid w:val="00CA7799"/>
    <w:rsid w:val="00CB0FC2"/>
    <w:rsid w:val="00CB1845"/>
    <w:rsid w:val="00CB1C65"/>
    <w:rsid w:val="00CB2350"/>
    <w:rsid w:val="00CB30FB"/>
    <w:rsid w:val="00CB5F9B"/>
    <w:rsid w:val="00CB6E5F"/>
    <w:rsid w:val="00CB70B8"/>
    <w:rsid w:val="00CB74DA"/>
    <w:rsid w:val="00CC7C0D"/>
    <w:rsid w:val="00CD1DDD"/>
    <w:rsid w:val="00CD31B6"/>
    <w:rsid w:val="00CD50AB"/>
    <w:rsid w:val="00CD5D8F"/>
    <w:rsid w:val="00CD7729"/>
    <w:rsid w:val="00CE11E4"/>
    <w:rsid w:val="00CE43C1"/>
    <w:rsid w:val="00CE4E66"/>
    <w:rsid w:val="00CE5CD7"/>
    <w:rsid w:val="00CF1AAC"/>
    <w:rsid w:val="00CF2D0C"/>
    <w:rsid w:val="00CF3DD1"/>
    <w:rsid w:val="00D02605"/>
    <w:rsid w:val="00D061B7"/>
    <w:rsid w:val="00D110FE"/>
    <w:rsid w:val="00D12711"/>
    <w:rsid w:val="00D1662F"/>
    <w:rsid w:val="00D204B7"/>
    <w:rsid w:val="00D2050E"/>
    <w:rsid w:val="00D22ED4"/>
    <w:rsid w:val="00D24831"/>
    <w:rsid w:val="00D25689"/>
    <w:rsid w:val="00D325EF"/>
    <w:rsid w:val="00D36C3E"/>
    <w:rsid w:val="00D4259D"/>
    <w:rsid w:val="00D4398D"/>
    <w:rsid w:val="00D45B02"/>
    <w:rsid w:val="00D45CAC"/>
    <w:rsid w:val="00D473EA"/>
    <w:rsid w:val="00D50B1A"/>
    <w:rsid w:val="00D512DE"/>
    <w:rsid w:val="00D51A03"/>
    <w:rsid w:val="00D5213C"/>
    <w:rsid w:val="00D53502"/>
    <w:rsid w:val="00D5593A"/>
    <w:rsid w:val="00D56566"/>
    <w:rsid w:val="00D57353"/>
    <w:rsid w:val="00D57367"/>
    <w:rsid w:val="00D61A37"/>
    <w:rsid w:val="00D64782"/>
    <w:rsid w:val="00D67278"/>
    <w:rsid w:val="00D67B8D"/>
    <w:rsid w:val="00D70554"/>
    <w:rsid w:val="00D7209D"/>
    <w:rsid w:val="00D7289B"/>
    <w:rsid w:val="00D73A2A"/>
    <w:rsid w:val="00D74196"/>
    <w:rsid w:val="00D7566D"/>
    <w:rsid w:val="00D76E20"/>
    <w:rsid w:val="00D8125F"/>
    <w:rsid w:val="00D86D5E"/>
    <w:rsid w:val="00D90453"/>
    <w:rsid w:val="00D922B1"/>
    <w:rsid w:val="00D923CC"/>
    <w:rsid w:val="00D972FA"/>
    <w:rsid w:val="00DA5273"/>
    <w:rsid w:val="00DA5F08"/>
    <w:rsid w:val="00DA76FF"/>
    <w:rsid w:val="00DA79E8"/>
    <w:rsid w:val="00DB0272"/>
    <w:rsid w:val="00DB07D4"/>
    <w:rsid w:val="00DB22A5"/>
    <w:rsid w:val="00DB7370"/>
    <w:rsid w:val="00DC139D"/>
    <w:rsid w:val="00DC239E"/>
    <w:rsid w:val="00DC2C8A"/>
    <w:rsid w:val="00DC4666"/>
    <w:rsid w:val="00DC4968"/>
    <w:rsid w:val="00DC4D2A"/>
    <w:rsid w:val="00DC571F"/>
    <w:rsid w:val="00DC71F3"/>
    <w:rsid w:val="00DD3F5E"/>
    <w:rsid w:val="00DD425A"/>
    <w:rsid w:val="00DD448F"/>
    <w:rsid w:val="00DD55DA"/>
    <w:rsid w:val="00DD5ADB"/>
    <w:rsid w:val="00DD74EC"/>
    <w:rsid w:val="00DE0399"/>
    <w:rsid w:val="00DE271E"/>
    <w:rsid w:val="00DE569D"/>
    <w:rsid w:val="00DE6571"/>
    <w:rsid w:val="00DE7784"/>
    <w:rsid w:val="00DF0410"/>
    <w:rsid w:val="00DF0644"/>
    <w:rsid w:val="00DF39D8"/>
    <w:rsid w:val="00DF419A"/>
    <w:rsid w:val="00DF484B"/>
    <w:rsid w:val="00DF7F7A"/>
    <w:rsid w:val="00E01FDA"/>
    <w:rsid w:val="00E02857"/>
    <w:rsid w:val="00E03C5A"/>
    <w:rsid w:val="00E04B7F"/>
    <w:rsid w:val="00E0531A"/>
    <w:rsid w:val="00E10342"/>
    <w:rsid w:val="00E11133"/>
    <w:rsid w:val="00E117F3"/>
    <w:rsid w:val="00E13078"/>
    <w:rsid w:val="00E154A0"/>
    <w:rsid w:val="00E15729"/>
    <w:rsid w:val="00E163C3"/>
    <w:rsid w:val="00E179CF"/>
    <w:rsid w:val="00E202A8"/>
    <w:rsid w:val="00E229C2"/>
    <w:rsid w:val="00E232D1"/>
    <w:rsid w:val="00E2459C"/>
    <w:rsid w:val="00E24C1A"/>
    <w:rsid w:val="00E255B3"/>
    <w:rsid w:val="00E26643"/>
    <w:rsid w:val="00E31F6B"/>
    <w:rsid w:val="00E32C35"/>
    <w:rsid w:val="00E35CD7"/>
    <w:rsid w:val="00E369CE"/>
    <w:rsid w:val="00E404BC"/>
    <w:rsid w:val="00E417D3"/>
    <w:rsid w:val="00E41948"/>
    <w:rsid w:val="00E45331"/>
    <w:rsid w:val="00E45A2F"/>
    <w:rsid w:val="00E46978"/>
    <w:rsid w:val="00E46DA5"/>
    <w:rsid w:val="00E4746B"/>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77DA"/>
    <w:rsid w:val="00E7794D"/>
    <w:rsid w:val="00E77BC6"/>
    <w:rsid w:val="00E77DE7"/>
    <w:rsid w:val="00E83E68"/>
    <w:rsid w:val="00E84A3B"/>
    <w:rsid w:val="00E87C7F"/>
    <w:rsid w:val="00E903F8"/>
    <w:rsid w:val="00E913BA"/>
    <w:rsid w:val="00E93FB3"/>
    <w:rsid w:val="00E94F30"/>
    <w:rsid w:val="00E951D0"/>
    <w:rsid w:val="00E95B86"/>
    <w:rsid w:val="00E95F76"/>
    <w:rsid w:val="00E97649"/>
    <w:rsid w:val="00E97813"/>
    <w:rsid w:val="00EA08A7"/>
    <w:rsid w:val="00EA1173"/>
    <w:rsid w:val="00EA2CB3"/>
    <w:rsid w:val="00EA4749"/>
    <w:rsid w:val="00EA7134"/>
    <w:rsid w:val="00EA7FE0"/>
    <w:rsid w:val="00EB3604"/>
    <w:rsid w:val="00EB362B"/>
    <w:rsid w:val="00EB56CD"/>
    <w:rsid w:val="00EC06CA"/>
    <w:rsid w:val="00EC1732"/>
    <w:rsid w:val="00EC22AC"/>
    <w:rsid w:val="00EC2B26"/>
    <w:rsid w:val="00EC5BB8"/>
    <w:rsid w:val="00EC5F29"/>
    <w:rsid w:val="00EC68E7"/>
    <w:rsid w:val="00ED1214"/>
    <w:rsid w:val="00ED1508"/>
    <w:rsid w:val="00ED324B"/>
    <w:rsid w:val="00ED3311"/>
    <w:rsid w:val="00ED39AD"/>
    <w:rsid w:val="00EE171A"/>
    <w:rsid w:val="00EE26BC"/>
    <w:rsid w:val="00EE2F00"/>
    <w:rsid w:val="00EE7052"/>
    <w:rsid w:val="00EF08C8"/>
    <w:rsid w:val="00EF0BFF"/>
    <w:rsid w:val="00EF225C"/>
    <w:rsid w:val="00EF2790"/>
    <w:rsid w:val="00EF5E12"/>
    <w:rsid w:val="00EF6431"/>
    <w:rsid w:val="00EF661D"/>
    <w:rsid w:val="00EF7324"/>
    <w:rsid w:val="00EF748B"/>
    <w:rsid w:val="00F01066"/>
    <w:rsid w:val="00F019E8"/>
    <w:rsid w:val="00F051B9"/>
    <w:rsid w:val="00F11235"/>
    <w:rsid w:val="00F13454"/>
    <w:rsid w:val="00F15E89"/>
    <w:rsid w:val="00F17FBE"/>
    <w:rsid w:val="00F201D9"/>
    <w:rsid w:val="00F2236C"/>
    <w:rsid w:val="00F2704F"/>
    <w:rsid w:val="00F2742F"/>
    <w:rsid w:val="00F31828"/>
    <w:rsid w:val="00F32E45"/>
    <w:rsid w:val="00F34A3F"/>
    <w:rsid w:val="00F3686B"/>
    <w:rsid w:val="00F36D40"/>
    <w:rsid w:val="00F37E9A"/>
    <w:rsid w:val="00F4097C"/>
    <w:rsid w:val="00F40E3D"/>
    <w:rsid w:val="00F42017"/>
    <w:rsid w:val="00F4275D"/>
    <w:rsid w:val="00F42C93"/>
    <w:rsid w:val="00F450E2"/>
    <w:rsid w:val="00F459B3"/>
    <w:rsid w:val="00F45E28"/>
    <w:rsid w:val="00F469C0"/>
    <w:rsid w:val="00F51365"/>
    <w:rsid w:val="00F5218A"/>
    <w:rsid w:val="00F54707"/>
    <w:rsid w:val="00F55162"/>
    <w:rsid w:val="00F5653C"/>
    <w:rsid w:val="00F57210"/>
    <w:rsid w:val="00F57317"/>
    <w:rsid w:val="00F57413"/>
    <w:rsid w:val="00F615EE"/>
    <w:rsid w:val="00F625D4"/>
    <w:rsid w:val="00F62C19"/>
    <w:rsid w:val="00F656EC"/>
    <w:rsid w:val="00F6596B"/>
    <w:rsid w:val="00F65E15"/>
    <w:rsid w:val="00F7261E"/>
    <w:rsid w:val="00F74E91"/>
    <w:rsid w:val="00F76CC9"/>
    <w:rsid w:val="00F77F91"/>
    <w:rsid w:val="00F80390"/>
    <w:rsid w:val="00F8262B"/>
    <w:rsid w:val="00F83DB4"/>
    <w:rsid w:val="00F84536"/>
    <w:rsid w:val="00F8784E"/>
    <w:rsid w:val="00F87D07"/>
    <w:rsid w:val="00F90150"/>
    <w:rsid w:val="00F90174"/>
    <w:rsid w:val="00F9085A"/>
    <w:rsid w:val="00F908D4"/>
    <w:rsid w:val="00F91FD6"/>
    <w:rsid w:val="00F92D39"/>
    <w:rsid w:val="00F92EBD"/>
    <w:rsid w:val="00F94A51"/>
    <w:rsid w:val="00F95414"/>
    <w:rsid w:val="00F973DE"/>
    <w:rsid w:val="00FA1170"/>
    <w:rsid w:val="00FA18EC"/>
    <w:rsid w:val="00FA1BE4"/>
    <w:rsid w:val="00FA5456"/>
    <w:rsid w:val="00FA5B2A"/>
    <w:rsid w:val="00FA68D9"/>
    <w:rsid w:val="00FA6FB3"/>
    <w:rsid w:val="00FB19F3"/>
    <w:rsid w:val="00FB44DD"/>
    <w:rsid w:val="00FB4EDC"/>
    <w:rsid w:val="00FB5EA7"/>
    <w:rsid w:val="00FC2702"/>
    <w:rsid w:val="00FC2BEC"/>
    <w:rsid w:val="00FC47C6"/>
    <w:rsid w:val="00FC4B6B"/>
    <w:rsid w:val="00FC58B3"/>
    <w:rsid w:val="00FC65BB"/>
    <w:rsid w:val="00FD08CC"/>
    <w:rsid w:val="00FD0D40"/>
    <w:rsid w:val="00FD12DC"/>
    <w:rsid w:val="00FD65AE"/>
    <w:rsid w:val="00FD78C0"/>
    <w:rsid w:val="00FE0520"/>
    <w:rsid w:val="00FE1D78"/>
    <w:rsid w:val="00FE2A7D"/>
    <w:rsid w:val="00FE33E1"/>
    <w:rsid w:val="00FE5F67"/>
    <w:rsid w:val="00FE6ADA"/>
    <w:rsid w:val="00FF2C58"/>
    <w:rsid w:val="00FF54F5"/>
    <w:rsid w:val="00FF5517"/>
    <w:rsid w:val="00FF5F20"/>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aliases w:val="IT Kommentartext"/>
    <w:basedOn w:val="Normal"/>
    <w:link w:val="CommentTextChar"/>
    <w:uiPriority w:val="99"/>
    <w:qFormat/>
    <w:rsid w:val="008F4611"/>
    <w:rPr>
      <w:sz w:val="20"/>
      <w:szCs w:val="20"/>
    </w:rPr>
  </w:style>
  <w:style w:type="character" w:customStyle="1" w:styleId="CommentTextChar">
    <w:name w:val="Comment Text Char"/>
    <w:aliases w:val="IT Kommentar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 w:type="paragraph" w:customStyle="1" w:styleId="ListParagraph1">
    <w:name w:val="List Paragraph1"/>
    <w:basedOn w:val="Normal"/>
    <w:qFormat/>
    <w:rsid w:val="00680383"/>
    <w:pPr>
      <w:widowControl w:val="0"/>
      <w:tabs>
        <w:tab w:val="clear" w:pos="567"/>
      </w:tabs>
      <w:autoSpaceDE w:val="0"/>
      <w:autoSpaceDN w:val="0"/>
      <w:adjustRightInd w:val="0"/>
      <w:snapToGrid/>
      <w:ind w:left="720"/>
      <w:contextualSpacing/>
      <w:jc w:val="both"/>
    </w:pPr>
    <w:rPr>
      <w:rFonts w:eastAsia="Times New Roman"/>
      <w:snapToGrid/>
      <w:lang w:eastAsia="en-US"/>
    </w:rPr>
  </w:style>
  <w:style w:type="table" w:customStyle="1" w:styleId="TableGrid1">
    <w:name w:val="Table Grid1"/>
    <w:basedOn w:val="TableNormal"/>
    <w:next w:val="TableGrid"/>
    <w:rsid w:val="00756455"/>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756455"/>
    <w:pPr>
      <w:pBdr>
        <w:top w:val="nil"/>
        <w:left w:val="nil"/>
        <w:bottom w:val="nil"/>
        <w:right w:val="nil"/>
        <w:between w:val="nil"/>
        <w:bar w:val="nil"/>
      </w:pBdr>
      <w:spacing w:before="100" w:after="100"/>
    </w:pPr>
    <w:rPr>
      <w:rFonts w:ascii="Times" w:eastAsia="Arial Unicode MS" w:hAnsi="Times" w:cs="Arial Unicode MS"/>
      <w:color w:val="000000"/>
      <w:sz w:val="24"/>
      <w:szCs w:val="24"/>
      <w:u w:color="000000"/>
      <w:bdr w:val="nil"/>
      <w:lang w:val="en-US" w:eastAsia="en-US"/>
    </w:rPr>
  </w:style>
  <w:style w:type="paragraph" w:customStyle="1" w:styleId="Numberedbodytext">
    <w:name w:val="Numbered body text"/>
    <w:basedOn w:val="BodyText"/>
    <w:uiPriority w:val="1"/>
    <w:qFormat/>
    <w:rsid w:val="00756455"/>
    <w:pPr>
      <w:widowControl w:val="0"/>
      <w:numPr>
        <w:numId w:val="37"/>
      </w:numPr>
      <w:tabs>
        <w:tab w:val="clear" w:pos="567"/>
        <w:tab w:val="num" w:pos="644"/>
      </w:tabs>
      <w:autoSpaceDE w:val="0"/>
      <w:autoSpaceDN w:val="0"/>
      <w:snapToGrid/>
      <w:spacing w:before="120" w:line="271" w:lineRule="auto"/>
      <w:ind w:left="567" w:right="141" w:hanging="361"/>
      <w:jc w:val="both"/>
    </w:pPr>
    <w:rPr>
      <w:rFonts w:ascii="Arial" w:eastAsia="Arial" w:hAnsi="Arial"/>
      <w:snapToGrid/>
      <w:sz w:val="20"/>
      <w:szCs w:val="20"/>
      <w:lang w:eastAsia="x-none"/>
    </w:rPr>
  </w:style>
  <w:style w:type="paragraph" w:styleId="BodyText">
    <w:name w:val="Body Text"/>
    <w:basedOn w:val="Normal"/>
    <w:link w:val="BodyTextChar"/>
    <w:semiHidden/>
    <w:unhideWhenUsed/>
    <w:rsid w:val="00756455"/>
    <w:pPr>
      <w:spacing w:after="120"/>
    </w:pPr>
  </w:style>
  <w:style w:type="character" w:customStyle="1" w:styleId="BodyTextChar">
    <w:name w:val="Body Text Char"/>
    <w:basedOn w:val="DefaultParagraphFont"/>
    <w:link w:val="BodyText"/>
    <w:semiHidden/>
    <w:rsid w:val="00756455"/>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hyperlink" Target="https://oceanexpert.org/document/34201" TargetMode="External"/><Relationship Id="rId18" Type="http://schemas.openxmlformats.org/officeDocument/2006/relationships/hyperlink" Target="https://oceanexpert.org/document/3584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3119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78557.locale=f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unesdoc.unesco.org/ark:/48223/pf0000379054.locale=fr" TargetMode="External"/><Relationship Id="rId14" Type="http://schemas.openxmlformats.org/officeDocument/2006/relationships/hyperlink" Target="https://unesdoc.unesco.org/ark:/48223/pf0000390822.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481B-B30E-4A9D-8283-57B6705BC1D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2720</Words>
  <Characters>15880</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Manager/>
  <Company>UNESCO</Company>
  <LinksUpToDate>false</LinksUpToDate>
  <CharactersWithSpaces>18563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dc:description/>
  <cp:lastModifiedBy>Boned, Patrice</cp:lastModifiedBy>
  <cp:revision>2</cp:revision>
  <cp:lastPrinted>2023-05-17T15:14:00Z</cp:lastPrinted>
  <dcterms:created xsi:type="dcterms:W3CDTF">2025-03-25T17:43:00Z</dcterms:created>
  <dcterms:modified xsi:type="dcterms:W3CDTF">2025-03-25T17:43:00Z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