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4464" w14:textId="7B227DFE" w:rsidR="0014571A" w:rsidRDefault="0014571A">
      <w:pPr>
        <w:pStyle w:val="Heading3"/>
        <w:widowControl w:val="0"/>
        <w:spacing w:line="276" w:lineRule="auto"/>
        <w:jc w:val="center"/>
      </w:pPr>
    </w:p>
    <w:tbl>
      <w:tblPr>
        <w:tblStyle w:val="1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14571A" w:rsidRPr="00645AE5" w14:paraId="0B9F2E5F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41D024" w14:textId="77777777" w:rsidR="0014571A" w:rsidRDefault="00DA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4CDAC8B3" w14:textId="6EFF364B" w:rsidR="0014571A" w:rsidRPr="00645AE5" w:rsidRDefault="00DA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lang w:val="ru"/>
              </w:rPr>
              <w:t xml:space="preserve">Мандат ГСНО ведет свое исчисление с 2012 г., с </w:t>
            </w:r>
            <w:hyperlink r:id="rId8">
              <w:r>
                <w:rPr>
                  <w:color w:val="1155CC"/>
                  <w:u w:val="single"/>
                  <w:lang w:val="ru"/>
                </w:rPr>
                <w:t>Резолюции XXVI-8</w:t>
              </w:r>
            </w:hyperlink>
            <w:r>
              <w:rPr>
                <w:lang w:val="ru"/>
              </w:rPr>
              <w:t>, в которой также закреплен круг ведения ее Руководящего комитета. Согласно резолюции Руководящему комитету ГСНО поручается подготовить двухгодичный план работы для рассмотрения руководящими органами МОК и утверждения Ассамблеей.</w:t>
            </w:r>
          </w:p>
          <w:p w14:paraId="005249C8" w14:textId="6C81F6E1" w:rsidR="0014571A" w:rsidRPr="00645AE5" w:rsidRDefault="00DA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lang w:val="ru"/>
              </w:rPr>
              <w:t xml:space="preserve">В настоящем документе представлен рабочий план Руководящего комитета ГСНО на 2025–2027 г. с указанием требуемых ресурсов, как было определено Руководящим комитетом ГСНО на его 14-й сессии (SC-14). </w:t>
            </w:r>
          </w:p>
          <w:p w14:paraId="6FE52D75" w14:textId="58FCEC92" w:rsidR="0014571A" w:rsidRPr="00645AE5" w:rsidRDefault="00DA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color w:val="000000"/>
                <w:lang w:val="ru"/>
              </w:rPr>
              <w:t xml:space="preserve">: пункты </w:t>
            </w:r>
            <w:r>
              <w:rPr>
                <w:lang w:val="ru"/>
              </w:rPr>
              <w:t>24-25.</w:t>
            </w:r>
          </w:p>
          <w:p w14:paraId="1CF20464" w14:textId="61C9D6F1" w:rsidR="0014571A" w:rsidRPr="00645AE5" w:rsidRDefault="00DA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Предлагаемое решение</w:t>
            </w:r>
            <w:r>
              <w:rPr>
                <w:color w:val="000000"/>
                <w:lang w:val="ru"/>
              </w:rPr>
              <w:t xml:space="preserve"> представлено в Документе о принятых и предлагаемых мерах (документ </w:t>
            </w:r>
            <w:hyperlink r:id="rId9" w:history="1">
              <w:r>
                <w:rPr>
                  <w:rStyle w:val="Hyperlink"/>
                  <w:lang w:val="ru"/>
                </w:rPr>
                <w:t>IOC/A-33/2 Prov.</w:t>
              </w:r>
            </w:hyperlink>
            <w:r>
              <w:rPr>
                <w:color w:val="000000"/>
                <w:lang w:val="ru"/>
              </w:rPr>
              <w:t>) под номером A-33/Dec.4.5.2.</w:t>
            </w:r>
          </w:p>
        </w:tc>
      </w:tr>
    </w:tbl>
    <w:p w14:paraId="6CF8C5B2" w14:textId="77777777" w:rsidR="00DB694B" w:rsidRPr="00645AE5" w:rsidRDefault="00DB694B">
      <w:pPr>
        <w:pStyle w:val="Heading3"/>
        <w:rPr>
          <w:lang w:val="ru"/>
        </w:rPr>
      </w:pPr>
    </w:p>
    <w:p w14:paraId="0C6DE73B" w14:textId="77777777" w:rsidR="00DB694B" w:rsidRPr="00645AE5" w:rsidRDefault="00DB694B">
      <w:pPr>
        <w:rPr>
          <w:b/>
          <w:lang w:val="ru"/>
        </w:rPr>
      </w:pPr>
      <w:r>
        <w:rPr>
          <w:lang w:val="ru"/>
        </w:rPr>
        <w:br w:type="page"/>
      </w:r>
    </w:p>
    <w:p w14:paraId="6CB11232" w14:textId="1EC526CA" w:rsidR="0014571A" w:rsidRDefault="00DA2532">
      <w:pPr>
        <w:pStyle w:val="Heading3"/>
      </w:pPr>
      <w:r>
        <w:rPr>
          <w:bCs/>
          <w:lang w:val="ru"/>
        </w:rPr>
        <w:lastRenderedPageBreak/>
        <w:t>Введение</w:t>
      </w:r>
    </w:p>
    <w:p w14:paraId="60140B5D" w14:textId="48F32DAC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lang w:val="ru"/>
        </w:rPr>
        <w:t>В 2024 году Исполнительный секретарь восстановил 10 исполнительных членов Руководящего комитета (РК) ГСНО, которые присоединились к пяти действующим региональным представителям, избранным в 2023 году на 32-й сессии Ассамблеи. Руководящий комитет избрал двух своих сопредседателей в августе 2024 года: Давида Леглера (НОАА, США) и Балакришнана Наира (ИНКОИС, Индия).</w:t>
      </w:r>
    </w:p>
    <w:p w14:paraId="7C04CAB8" w14:textId="41E92ACE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lang w:val="ru"/>
        </w:rPr>
        <w:t>Руководящий комитет ГСНО провел 14-ю сессию (</w:t>
      </w:r>
      <w:hyperlink r:id="rId10">
        <w:r>
          <w:rPr>
            <w:color w:val="1155CC"/>
            <w:u w:val="single"/>
            <w:lang w:val="ru"/>
          </w:rPr>
          <w:t>GOOS SC-14</w:t>
        </w:r>
      </w:hyperlink>
      <w:r>
        <w:rPr>
          <w:lang w:val="ru"/>
        </w:rPr>
        <w:t>) 19–21 февраля 2025 года в штаб-квартире ЮНЕСКО в Париже. Доклад о SC-14 под названием</w:t>
      </w:r>
      <w:hyperlink r:id="rId11" w:history="1">
        <w:r>
          <w:rPr>
            <w:rStyle w:val="Hyperlink"/>
            <w:lang w:val="ru"/>
          </w:rPr>
          <w:t>GOOS-305</w:t>
        </w:r>
      </w:hyperlink>
      <w:r>
        <w:rPr>
          <w:lang w:val="ru"/>
        </w:rPr>
        <w:t xml:space="preserve"> доступен для рассмотрения Ассамблеей, для которой он предназначен. </w:t>
      </w:r>
    </w:p>
    <w:p w14:paraId="5EE1F02D" w14:textId="055C463B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lang w:val="ru"/>
        </w:rPr>
        <w:t xml:space="preserve">Сопредседатели Руководящего комитета ГСНО приняли решение, что, в соответствии со своим мандатом и принимая во внимание </w:t>
      </w:r>
      <w:hyperlink r:id="rId12">
        <w:r>
          <w:rPr>
            <w:i/>
            <w:iCs/>
            <w:color w:val="0563C1"/>
            <w:u w:val="single"/>
            <w:lang w:val="ru"/>
          </w:rPr>
          <w:t>Стратегию ГСНО на период до 2030 года</w:t>
        </w:r>
      </w:hyperlink>
      <w:r>
        <w:rPr>
          <w:lang w:val="ru"/>
        </w:rPr>
        <w:t xml:space="preserve"> (2019 г.) и </w:t>
      </w:r>
      <w:hyperlink r:id="rId13">
        <w:r>
          <w:rPr>
            <w:i/>
            <w:iCs/>
            <w:color w:val="1155CC"/>
            <w:u w:val="single"/>
            <w:lang w:val="ru"/>
          </w:rPr>
          <w:t>Рамки наблюдения за океаном</w:t>
        </w:r>
      </w:hyperlink>
      <w:r>
        <w:rPr>
          <w:lang w:val="ru"/>
        </w:rPr>
        <w:t xml:space="preserve"> (2012 г.), в течение следующего двухлетнего периода РК сосредоточится на четком принятии решений и определении стратегических мероприятий для обеспечения многофункциональной и устойчивой системы наблюдений, включая прозрачные улучшения и изменения на организационном и процессуальном уровнях, для поддержки Государств-членов и многопользовательского сообщества ГСНО. </w:t>
      </w:r>
    </w:p>
    <w:p w14:paraId="1CC7C797" w14:textId="511DDE7F" w:rsidR="0014571A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</w:pPr>
      <w:r>
        <w:rPr>
          <w:lang w:val="ru"/>
        </w:rPr>
        <w:t>РК ГСНО признает необходимость обеспечить соответствие работы ГСНО соответствующим мандатам ее спонсоров, включая «Среднесрочную стратегию МОК», «Переходящий обзор требований ВМО», Совместный совет по сотрудничеству между ВМО и МОК, а также будущие планы, в основе которых лежит ГСНО, в частности, План реализации Общей стратегии МОК по устойчивому океаническому планированию и управлению (см. пункт 4.1 повестки дня).</w:t>
      </w:r>
    </w:p>
    <w:p w14:paraId="3740AC25" w14:textId="366235B2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lang w:val="ru"/>
        </w:rPr>
        <w:t xml:space="preserve">РК ГСНО выделил в рабочем плане на 2025–2027 гг. шесть разделов: (i) координация и управление ГСНО; (ii) интеграция, проектирование, разработка и реализация системы наблюдений; (iii) поддержка и укрепление интеграции и предоставления данных; (iv) внедрение системы: (a) на национальном и региональном уровнях; (b) для общественных начинаний; (v) информационно-пропагандистская деятельность: (a) проекты и партнеры; (b) коммуникация; (vi) реформирование ГСНО (см. пункт 4.5.1 повестки дня). Ниже приведены ключевые действия по каждому разделу. Выделяемые ГСНО ресурсы являются нестабильными как для системы, так и для ее координации. В настоящем документе указан текущий минимум дополнительных ресурсов, необходимых для координации достижения целей плана работы ГСНО Секретариатом МОК. Ресурсы, требуемые для внедрения глобальной системы, на настоящий момент не покрыты. </w:t>
      </w:r>
    </w:p>
    <w:p w14:paraId="4718DB70" w14:textId="2ABB3BBC" w:rsidR="0014571A" w:rsidRDefault="00DA25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jc w:val="both"/>
        <w:rPr>
          <w:b/>
        </w:rPr>
      </w:pPr>
      <w:r>
        <w:rPr>
          <w:b/>
          <w:bCs/>
          <w:lang w:val="ru"/>
        </w:rPr>
        <w:t>Рабочий план на 2025–2027 годы</w:t>
      </w:r>
    </w:p>
    <w:p w14:paraId="1FA722EB" w14:textId="5849F605" w:rsidR="0014571A" w:rsidRPr="003663A2" w:rsidRDefault="00DA2532" w:rsidP="0061553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/>
        <w:ind w:left="709"/>
        <w:jc w:val="both"/>
        <w:rPr>
          <w:b/>
          <w:u w:val="single"/>
        </w:rPr>
      </w:pPr>
      <w:r>
        <w:rPr>
          <w:b/>
          <w:bCs/>
          <w:u w:val="single"/>
          <w:lang w:val="ru"/>
        </w:rPr>
        <w:t>Координация и управление ГСНО</w:t>
      </w:r>
    </w:p>
    <w:p w14:paraId="69F352EE" w14:textId="006B43EA" w:rsidR="0014571A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</w:pPr>
      <w:r>
        <w:rPr>
          <w:u w:val="single"/>
          <w:lang w:val="ru"/>
        </w:rPr>
        <w:t>Обзор:</w:t>
      </w:r>
      <w:r>
        <w:rPr>
          <w:lang w:val="ru"/>
        </w:rPr>
        <w:t xml:space="preserve"> Группа по управлению ГСНО (ГУГ) руководит ГСНО и ее компонентами, способствует достижению целей Стратегии ГСНО и выстраивает партнерские связи, необходимые для развития интегрированной, оперативной и устойчивой системы наблюдений. ГУГ состоит из основной группы в Секретариате МОК, 4 штатных должностей (в текущей Программе и бюджете 42 C/5) и 9 ассоциированных должностей (Регулярная программа, внебюджетные средства/ средства внешних проектов), а также других членов, оказывающих помощь в натуральной форме (включая представителей Международного проекта по координации океанического углерода, НОАА, OceanOPS и ВМО).</w:t>
      </w:r>
    </w:p>
    <w:p w14:paraId="36C17231" w14:textId="4802228C" w:rsidR="0014571A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</w:pPr>
      <w:r>
        <w:rPr>
          <w:u w:val="single"/>
          <w:lang w:val="ru"/>
        </w:rPr>
        <w:t>Действия</w:t>
      </w:r>
      <w:r>
        <w:rPr>
          <w:lang w:val="ru"/>
        </w:rPr>
        <w:t xml:space="preserve">: управление, интеграция, координация, представление отчетов и информационно-пропагандистская деятельность ГСНО; сотрудничество и взаимодействие со всеми компонентами ГСНО (Руководящий комитет, группы экспертов, Группа по координации наблюдений (ГКН), OceanOPS, региональные альянсы, национальные координаторы, Группа </w:t>
      </w:r>
      <w:r>
        <w:rPr>
          <w:lang w:val="ru"/>
        </w:rPr>
        <w:lastRenderedPageBreak/>
        <w:t xml:space="preserve">экспертов по оперативным системам прогнозирования состояния океана), спонсорами (МОК, ВМО, МСН и ЮНЕП), Глобальной системой наблюдения за климатом, партнерами, заинтересованными сторонами, проектами ГСНО, программами в рамках Десятилетия науки об океане и сообществами специалистов-практиков; обеспечение согласованности с МОК и другими соответствующими мандатами, а также поддержка государств-членов и более широкой системы ООН в целом. </w:t>
      </w:r>
    </w:p>
    <w:p w14:paraId="364693B3" w14:textId="09266A17" w:rsidR="0014571A" w:rsidRDefault="00DA2532" w:rsidP="00D45482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</w:pPr>
      <w:r>
        <w:rPr>
          <w:u w:val="single"/>
          <w:lang w:val="ru"/>
        </w:rPr>
        <w:t>Требуемые дополнительные ресурсы:</w:t>
      </w:r>
      <w:r>
        <w:rPr>
          <w:lang w:val="ru"/>
        </w:rPr>
        <w:t xml:space="preserve"> Помощник по административным вопросам G4 (категория общего обслуживания) эквивалент полной занятости (ЭПЗ); научный сотрудник P3 (профессиональная категория) Группы БиоЭко ЭПЗ (в настоящий момент покрывается РП (регулярной программой) и внебюджетными ресурсами); сотрудник по вопросам коммуникации P2 (в настоящий момент покрываетcя РП); сотрудник P2 ЭПЗ для поддержки Группы по координации наблюдений (ГКН) и управления данными (ранее заполнялась путем прикомандирования до 2024 года); научный сотрудник P3 Группы биогеохимии (БГХ) ЭПЗ (в настоящий момент ресурсы отсутствуют). </w:t>
      </w:r>
    </w:p>
    <w:p w14:paraId="4C9D01F5" w14:textId="478C1297" w:rsidR="0014571A" w:rsidRPr="003663A2" w:rsidRDefault="00DA2532" w:rsidP="000152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/>
        <w:ind w:hanging="1080"/>
        <w:jc w:val="both"/>
        <w:rPr>
          <w:b/>
          <w:u w:val="single"/>
        </w:rPr>
      </w:pPr>
      <w:r>
        <w:rPr>
          <w:b/>
          <w:bCs/>
          <w:u w:val="single"/>
          <w:lang w:val="ru"/>
        </w:rPr>
        <w:t xml:space="preserve">Интеграция, проектирование, разработка и реализация системы наблюдений </w:t>
      </w:r>
    </w:p>
    <w:p w14:paraId="3E60FC3B" w14:textId="108F9865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Обзор</w:t>
      </w:r>
      <w:r>
        <w:rPr>
          <w:lang w:val="ru"/>
        </w:rPr>
        <w:t xml:space="preserve">: в соответствии с целью 2 Стратегии ГСНО на период до 2030 года эта деятельность направлена на содействие использованию ГСНО в целях обеспечения интегрированной и отвечающей потребностями системы наблюдений на основе системного подхода, изложенного в </w:t>
      </w:r>
      <w:r>
        <w:rPr>
          <w:i/>
          <w:iCs/>
          <w:lang w:val="ru"/>
        </w:rPr>
        <w:t>Рамках наблюдения за океаном</w:t>
      </w:r>
      <w:r>
        <w:rPr>
          <w:lang w:val="ru"/>
        </w:rPr>
        <w:t>. Действия соответствуют потребностям государств-членов, Среднесрочной стратегии МОК и соответствующим мандатам ООН.</w:t>
      </w:r>
    </w:p>
    <w:p w14:paraId="29B93050" w14:textId="77777777" w:rsidR="0014571A" w:rsidRDefault="00DA2532" w:rsidP="002F295F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120"/>
        <w:jc w:val="both"/>
      </w:pPr>
      <w:r>
        <w:rPr>
          <w:u w:val="single"/>
          <w:lang w:val="ru"/>
        </w:rPr>
        <w:t>Действия</w:t>
      </w:r>
      <w:r>
        <w:rPr>
          <w:lang w:val="ru"/>
        </w:rPr>
        <w:t>:</w:t>
      </w:r>
    </w:p>
    <w:p w14:paraId="407F2E7A" w14:textId="4353C564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 xml:space="preserve">обновление Листов спецификаций ОППО; </w:t>
      </w:r>
    </w:p>
    <w:p w14:paraId="6A26C7BF" w14:textId="05EBB8A9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 xml:space="preserve">разработка и реализация Плана ГСНО по сохранению биоразнообразия; </w:t>
      </w:r>
    </w:p>
    <w:p w14:paraId="6CC9EAE3" w14:textId="5CBD367D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 xml:space="preserve">разработка и реализация Плана ГСНО по снижению выбросов углерода и парниковых газов (ПГ); </w:t>
      </w:r>
    </w:p>
    <w:p w14:paraId="1944F403" w14:textId="1B481295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 xml:space="preserve">разработка предложения для международной системы показателей состояния океана с реализацией пилотных показателей в сотрудничестве с соответствующими партнерами и инструментами для отчетности и выстраивания повествования; </w:t>
      </w:r>
    </w:p>
    <w:p w14:paraId="0551E026" w14:textId="7523762B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>проведение совместного совещания группы экспертов в 2026 году для организации сотрудничества по всем действиям;</w:t>
      </w:r>
    </w:p>
    <w:p w14:paraId="3110C91A" w14:textId="17028FE7" w:rsidR="0014571A" w:rsidRDefault="002F295F" w:rsidP="002F295F">
      <w:pPr>
        <w:numPr>
          <w:ilvl w:val="1"/>
          <w:numId w:val="4"/>
        </w:numPr>
        <w:tabs>
          <w:tab w:val="clear" w:pos="567"/>
        </w:tabs>
        <w:spacing w:after="120"/>
        <w:ind w:left="1386" w:hanging="677"/>
        <w:jc w:val="both"/>
      </w:pPr>
      <w:r>
        <w:rPr>
          <w:lang w:val="ru"/>
        </w:rPr>
        <w:t xml:space="preserve">руководство совместно с ВМО координацией компонента «Область применения системы “Океан-Земля“» «Переходящего обзора требований» (ПОТ) и Глобальной опорной сети наблюдений (ГОСН), включая обновление и доработку «Руководящих указаний ВМО в отношении океана, атмосферы и криосферы» (2025 г.), инициировав компонент «Область применения биогеохимических циклов для океана» процесса ПОТ; </w:t>
      </w:r>
    </w:p>
    <w:p w14:paraId="6BFFC63B" w14:textId="185BBF48" w:rsidR="0014571A" w:rsidRPr="00645AE5" w:rsidRDefault="00DA2532" w:rsidP="002F295F">
      <w:pPr>
        <w:numPr>
          <w:ilvl w:val="1"/>
          <w:numId w:val="4"/>
        </w:numPr>
        <w:tabs>
          <w:tab w:val="clear" w:pos="567"/>
        </w:tabs>
        <w:spacing w:after="240"/>
        <w:ind w:left="1386" w:hanging="677"/>
        <w:jc w:val="both"/>
        <w:rPr>
          <w:lang w:val="ru"/>
        </w:rPr>
      </w:pPr>
      <w:r>
        <w:rPr>
          <w:lang w:val="ru"/>
        </w:rPr>
        <w:t>поддержка подгруппы Глобальной опорной сети наблюдений (ГОСН) Совместного совета по сотрудничеству между ВМО и МОК. Параллельно развивать обсуждение по опорной сети наблюдений ГСНО (для ООПО). В рамках этой работы рассмотреть акватории, находящиеся под национальной юрисдикцией, и открытый океан, статус и реализацию ОППО, а также подход к установлению требований, позволяющий использовать существующие компоненты и процессы.</w:t>
      </w:r>
    </w:p>
    <w:p w14:paraId="4E64B2D4" w14:textId="4FBDE724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Требуемые дополнительные ресурсы:</w:t>
      </w:r>
      <w:r>
        <w:rPr>
          <w:lang w:val="ru"/>
        </w:rPr>
        <w:t xml:space="preserve"> Научный сотрудник БиоЭко P3 ЭПЗ и научный сотрудник БГХ P3 ЭПЗ (как указано в пункте 8 выше), трехдневное совещание междисциплинарной группы экспертов в количестве 40 человек, стоимостью приблизительно </w:t>
      </w:r>
      <w:r>
        <w:rPr>
          <w:lang w:val="ru"/>
        </w:rPr>
        <w:lastRenderedPageBreak/>
        <w:t>200 000 долларов США, один сотрудник P2 ЭПЗ для разработки плана по углероду, вклад в натуральной форме в 20 % для поддержания работы ПОТ и ГОСН.</w:t>
      </w:r>
    </w:p>
    <w:p w14:paraId="082D505A" w14:textId="77777777" w:rsidR="0014571A" w:rsidRPr="00645AE5" w:rsidRDefault="00DA2532" w:rsidP="00B21B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00"/>
        <w:ind w:left="709" w:hanging="709"/>
        <w:jc w:val="both"/>
        <w:rPr>
          <w:b/>
          <w:u w:val="single"/>
          <w:lang w:val="ru"/>
        </w:rPr>
      </w:pPr>
      <w:r>
        <w:rPr>
          <w:b/>
          <w:bCs/>
          <w:u w:val="single"/>
          <w:lang w:val="ru"/>
        </w:rPr>
        <w:t>Поддержка и укрепление интеграции и предоставления данных</w:t>
      </w:r>
    </w:p>
    <w:p w14:paraId="4D703E4C" w14:textId="797F13D9" w:rsidR="0014571A" w:rsidRPr="00645AE5" w:rsidRDefault="00DA2532" w:rsidP="00942637">
      <w:pPr>
        <w:numPr>
          <w:ilvl w:val="0"/>
          <w:numId w:val="2"/>
        </w:numPr>
        <w:tabs>
          <w:tab w:val="clear" w:pos="567"/>
          <w:tab w:val="left" w:pos="709"/>
          <w:tab w:val="left" w:pos="1134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Обзор:</w:t>
      </w:r>
      <w:r>
        <w:rPr>
          <w:lang w:val="ru"/>
        </w:rPr>
        <w:t xml:space="preserve"> Эта новая приоритетная область, охватывающая все три цели Стратегии ГСНО на период до 2030 года, направлена на то, чтобы синхронизированные данные, передаваемые в глобальную систему, отвечали принципам FAIR (findable, accessible, interoperable and reusable – находимость, доступность, совместимость и переиспользование) и поступали к своим пользователям с приемлемой задержкой и качеством, обеспечивая согласованность внутри ГСНО, МОК, ВМО в отношении широкого внедрения открытой архитектуры и объединенного системного подхода (включая ОДИС, WIS2.0, ERDDAP™).</w:t>
      </w:r>
    </w:p>
    <w:p w14:paraId="6612CCE3" w14:textId="77777777" w:rsidR="0014571A" w:rsidRDefault="00DA2532" w:rsidP="00B21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</w:pPr>
      <w:r>
        <w:rPr>
          <w:u w:val="single"/>
          <w:lang w:val="ru"/>
        </w:rPr>
        <w:t>Действия</w:t>
      </w:r>
      <w:r>
        <w:rPr>
          <w:lang w:val="ru"/>
        </w:rPr>
        <w:t xml:space="preserve">: </w:t>
      </w:r>
    </w:p>
    <w:p w14:paraId="7A4B1427" w14:textId="7504D5D9" w:rsidR="0014571A" w:rsidRDefault="00B21B68" w:rsidP="00B21B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418" w:hanging="709"/>
        <w:jc w:val="both"/>
      </w:pPr>
      <w:r>
        <w:rPr>
          <w:lang w:val="ru"/>
        </w:rPr>
        <w:t xml:space="preserve">продолжение реализации межсетевой стратегии применения данных Группы по координации наблюдений (ГКН); </w:t>
      </w:r>
    </w:p>
    <w:p w14:paraId="2D510764" w14:textId="163CDD3B" w:rsidR="0014571A" w:rsidRDefault="00B21B68" w:rsidP="00B21B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418" w:hanging="709"/>
        <w:jc w:val="both"/>
      </w:pPr>
      <w:r>
        <w:rPr>
          <w:lang w:val="ru"/>
        </w:rPr>
        <w:t xml:space="preserve">совместная разработка плана архитектуры данных МОК (пункт 3.4.3 повестки дня), поддержка создания демонстрационных продуктов, обеспечивающих осведомленность о преимуществах более интегрированных наблюдений за океаном и связанной с ними системы управления и обмена данными; </w:t>
      </w:r>
    </w:p>
    <w:p w14:paraId="18955E79" w14:textId="77777777" w:rsidR="0014571A" w:rsidRDefault="00DA2532" w:rsidP="00B21B6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left="1418" w:hanging="709"/>
        <w:jc w:val="both"/>
      </w:pPr>
      <w:r>
        <w:rPr>
          <w:lang w:val="ru"/>
        </w:rPr>
        <w:t>реализация плана архитектуры данных МОК в сотрудничестве со всей МОК и соответствующими партнерами.</w:t>
      </w:r>
    </w:p>
    <w:p w14:paraId="355604F3" w14:textId="5CB55062" w:rsidR="0014571A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</w:pPr>
      <w:r>
        <w:rPr>
          <w:u w:val="single"/>
          <w:lang w:val="ru"/>
        </w:rPr>
        <w:t>Требуемые дополнительные ресурсы:</w:t>
      </w:r>
      <w:r>
        <w:rPr>
          <w:lang w:val="ru"/>
        </w:rPr>
        <w:t xml:space="preserve"> Один сотрудник P3 ЭПЗ (6 месяцев) для разработки плана архитектуры данных МОК; ресурсы, необходимые для реализации плана архитектуры данных, будут определены в 2025 году.</w:t>
      </w:r>
    </w:p>
    <w:p w14:paraId="4008B292" w14:textId="66646BE2" w:rsidR="0014571A" w:rsidRPr="003663A2" w:rsidRDefault="00DA2532" w:rsidP="00366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00"/>
        <w:ind w:left="709" w:hanging="709"/>
        <w:rPr>
          <w:b/>
          <w:u w:val="single"/>
        </w:rPr>
      </w:pPr>
      <w:r>
        <w:rPr>
          <w:b/>
          <w:bCs/>
          <w:u w:val="single"/>
          <w:lang w:val="ru"/>
        </w:rPr>
        <w:t xml:space="preserve">Внедрение системы: (i) на национальном и региональном уровнях; (ii) для общественных начинаний </w:t>
      </w:r>
    </w:p>
    <w:p w14:paraId="28B77224" w14:textId="5A7EDD05" w:rsidR="0014571A" w:rsidRPr="00645AE5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Обзор:</w:t>
      </w:r>
      <w:r>
        <w:rPr>
          <w:lang w:val="ru"/>
        </w:rPr>
        <w:t xml:space="preserve"> Данная деятельность соответствует цели 1 Стратегии ГСНО на период до 2030 года по обеспечению и углублению взаимодействия и партнерских связей от наблюдений до конечных пользователей для популяризации использования и влияния наблюдений за океаном, а также для демонстрации их преимуществ. Действия будут способствовать прозрачности вкладов в ГСНО с национальными координаторами и региональными альянсами и от них, укрепляя их связи с другими компонентами ГСНО посредством четкой структуры для определения взаимодействий и обеспечения информации, соответствующей сферам применения. Наконец, действия ГСНО будут сконцентрированы на многоцелевой стратегии наблюдений, отвечающей потребностям общества и устойчивой экономики океана (например, посредством Группы экспертов по оперативным системам прогнозирования состояния океана (ETOOFS), мероприятий в рамках Десятилетия ООН, посвященного науке об океане, инициативы Генерального секретаря ООН «Заблаговременные предупреждения для всех» (EW4All) и т. д.). </w:t>
      </w:r>
    </w:p>
    <w:p w14:paraId="20A2A686" w14:textId="77777777" w:rsidR="0014571A" w:rsidRDefault="00DA2532" w:rsidP="004F49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</w:pPr>
      <w:r>
        <w:rPr>
          <w:u w:val="single"/>
          <w:lang w:val="ru"/>
        </w:rPr>
        <w:t>Действия</w:t>
      </w:r>
      <w:r>
        <w:rPr>
          <w:lang w:val="ru"/>
        </w:rPr>
        <w:t>:</w:t>
      </w:r>
    </w:p>
    <w:p w14:paraId="1ADB152F" w14:textId="58550BD6" w:rsidR="0014571A" w:rsidRDefault="004F49B5" w:rsidP="004F49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67"/>
        <w:jc w:val="both"/>
      </w:pPr>
      <w:r>
        <w:rPr>
          <w:lang w:val="ru"/>
        </w:rPr>
        <w:t>создание руководящих принципов осуществления и типовой формы отчетности для национальных координаторов;</w:t>
      </w:r>
    </w:p>
    <w:p w14:paraId="61C86FE2" w14:textId="5A7FACF2" w:rsidR="0014571A" w:rsidRDefault="004F49B5" w:rsidP="004F49B5">
      <w:pPr>
        <w:numPr>
          <w:ilvl w:val="1"/>
          <w:numId w:val="6"/>
        </w:numPr>
        <w:tabs>
          <w:tab w:val="clear" w:pos="567"/>
        </w:tabs>
        <w:spacing w:after="120"/>
        <w:ind w:left="1276" w:hanging="567"/>
      </w:pPr>
      <w:r>
        <w:rPr>
          <w:color w:val="333333"/>
          <w:lang w:val="ru"/>
        </w:rPr>
        <w:t>содействие и поддержка взаимодействия региональных альянсов ГСНО с ГСНО, в том числе в отношении целевых областей применения для координации и поддерживаемого потока данных, а также разработки типовой формы отчетности;</w:t>
      </w:r>
    </w:p>
    <w:p w14:paraId="617919B3" w14:textId="216351AF" w:rsidR="0014571A" w:rsidRDefault="004F49B5" w:rsidP="004F49B5">
      <w:pPr>
        <w:numPr>
          <w:ilvl w:val="1"/>
          <w:numId w:val="6"/>
        </w:numPr>
        <w:tabs>
          <w:tab w:val="clear" w:pos="567"/>
        </w:tabs>
        <w:spacing w:after="120"/>
        <w:ind w:left="1276" w:hanging="567"/>
        <w:rPr>
          <w:color w:val="333333"/>
        </w:rPr>
      </w:pPr>
      <w:r>
        <w:rPr>
          <w:color w:val="333333"/>
          <w:lang w:val="ru"/>
        </w:rPr>
        <w:t>разработка пересмотренного круга ведения ETOOFS и членства в ней, а также рабочего плана, обеспечивающего четкое определение роли ETOOFS в ГСНО и других сообществах;</w:t>
      </w:r>
    </w:p>
    <w:p w14:paraId="7DDBD7BE" w14:textId="66294177" w:rsidR="0014571A" w:rsidRDefault="004F49B5" w:rsidP="004F49B5">
      <w:pPr>
        <w:numPr>
          <w:ilvl w:val="1"/>
          <w:numId w:val="6"/>
        </w:numPr>
        <w:tabs>
          <w:tab w:val="clear" w:pos="567"/>
        </w:tabs>
        <w:spacing w:after="120"/>
        <w:ind w:left="1276" w:hanging="567"/>
        <w:rPr>
          <w:color w:val="333333"/>
        </w:rPr>
      </w:pPr>
      <w:r>
        <w:rPr>
          <w:color w:val="333333"/>
          <w:lang w:val="ru"/>
        </w:rPr>
        <w:lastRenderedPageBreak/>
        <w:t>разработка предложения по повышению популярности инициативы EW4ALL, включая точки входа/сотрудничества для ГСНО;</w:t>
      </w:r>
    </w:p>
    <w:p w14:paraId="75F08D8E" w14:textId="72E187ED" w:rsidR="0014571A" w:rsidRDefault="004F49B5" w:rsidP="004F49B5">
      <w:pPr>
        <w:numPr>
          <w:ilvl w:val="1"/>
          <w:numId w:val="6"/>
        </w:numPr>
        <w:tabs>
          <w:tab w:val="clear" w:pos="567"/>
        </w:tabs>
        <w:spacing w:after="240"/>
        <w:ind w:left="1276" w:hanging="567"/>
        <w:rPr>
          <w:color w:val="333333"/>
        </w:rPr>
      </w:pPr>
      <w:r>
        <w:rPr>
          <w:color w:val="333333"/>
          <w:lang w:val="ru"/>
        </w:rPr>
        <w:t xml:space="preserve">будущая конференция ГСНО (150-200 человек), координируемая РК ГСНО, в том числе совместно с региональными альянсами ГСНО, национальными координаторами, группами и прочими координаторами МОК (такими как координаторы Комитета МООД), а также соответствующими заинтересованными сторонами. </w:t>
      </w:r>
    </w:p>
    <w:p w14:paraId="28737267" w14:textId="322F7DBA" w:rsidR="0014571A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</w:pPr>
      <w:r>
        <w:rPr>
          <w:u w:val="single"/>
          <w:lang w:val="ru"/>
        </w:rPr>
        <w:t>Требуемые дополнительные ресурсы:</w:t>
      </w:r>
      <w:r>
        <w:rPr>
          <w:lang w:val="ru"/>
        </w:rPr>
        <w:t xml:space="preserve"> </w:t>
      </w:r>
      <w:r>
        <w:rPr>
          <w:color w:val="333333"/>
          <w:lang w:val="ru"/>
        </w:rPr>
        <w:t xml:space="preserve">Для </w:t>
      </w:r>
      <w:r>
        <w:rPr>
          <w:lang w:val="ru"/>
        </w:rPr>
        <w:t xml:space="preserve">проведения </w:t>
      </w:r>
      <w:r>
        <w:rPr>
          <w:color w:val="333333"/>
          <w:lang w:val="ru"/>
        </w:rPr>
        <w:t xml:space="preserve"> конференции ГСНО (150-200 человек), предварительно запланированной на 2027 год, необходимо приблизительно 500 000 долларов США; ведется поиск принимающей страны.</w:t>
      </w:r>
      <w:r>
        <w:rPr>
          <w:lang w:val="ru"/>
        </w:rPr>
        <w:t xml:space="preserve"> </w:t>
      </w:r>
    </w:p>
    <w:p w14:paraId="6FF8AFF5" w14:textId="48AEB2B0" w:rsidR="0014571A" w:rsidRPr="00562517" w:rsidRDefault="00DA2532" w:rsidP="005625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00"/>
        <w:ind w:left="714" w:hanging="714"/>
        <w:jc w:val="both"/>
        <w:rPr>
          <w:b/>
          <w:u w:val="single"/>
        </w:rPr>
      </w:pPr>
      <w:r>
        <w:rPr>
          <w:b/>
          <w:bCs/>
          <w:u w:val="single"/>
          <w:lang w:val="ru"/>
        </w:rPr>
        <w:t xml:space="preserve">Информационно-пропагандистская деятельность: (i) проекты и партнеры; (ii) коммуникация </w:t>
      </w:r>
    </w:p>
    <w:p w14:paraId="32834257" w14:textId="76377897" w:rsidR="0014571A" w:rsidRPr="00645AE5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Обзор:</w:t>
      </w:r>
      <w:r>
        <w:rPr>
          <w:lang w:val="ru"/>
        </w:rPr>
        <w:t xml:space="preserve"> Информационно-просветительская деятельность является ключевой потребностью, лежащей в основе ГСНО. Она отражена в целях 1 и 3 Стратегии ГСНО на период до 2030 года и способствует созданию крепких и приоритетных партнерских связей, наращиванию информационно-просветительской деятельности и повышению осведомленности, развитию потенциала в целях обеспечения реализации и широкого круга обязательств, поддержки инноваций для создания подкрепляемых и эффективных сообществ специалистов-практиков и расширения потенциала ГСНО.</w:t>
      </w:r>
    </w:p>
    <w:p w14:paraId="7094D2A7" w14:textId="77777777" w:rsidR="0014571A" w:rsidRDefault="00DA2532" w:rsidP="00562517">
      <w:pPr>
        <w:numPr>
          <w:ilvl w:val="0"/>
          <w:numId w:val="2"/>
        </w:numPr>
        <w:tabs>
          <w:tab w:val="left" w:pos="709"/>
        </w:tabs>
        <w:spacing w:after="120"/>
        <w:jc w:val="both"/>
      </w:pPr>
      <w:r>
        <w:rPr>
          <w:u w:val="single"/>
          <w:lang w:val="ru"/>
        </w:rPr>
        <w:t>Действия</w:t>
      </w:r>
      <w:r>
        <w:rPr>
          <w:lang w:val="ru"/>
        </w:rPr>
        <w:t xml:space="preserve">: </w:t>
      </w:r>
    </w:p>
    <w:p w14:paraId="186242B6" w14:textId="639DB93F" w:rsidR="0014571A" w:rsidRDefault="00562517" w:rsidP="00562517">
      <w:pPr>
        <w:numPr>
          <w:ilvl w:val="1"/>
          <w:numId w:val="7"/>
        </w:numPr>
        <w:tabs>
          <w:tab w:val="clear" w:pos="567"/>
        </w:tabs>
        <w:spacing w:after="120"/>
        <w:ind w:left="1260" w:hanging="693"/>
        <w:jc w:val="both"/>
      </w:pPr>
      <w:r>
        <w:rPr>
          <w:lang w:val="ru"/>
        </w:rPr>
        <w:t xml:space="preserve">пересмотр подхода ГСНО к проектам на пути к четко определенному процессу одобрения ГСНО, а также инновационной роли и наследия для ГСНО; </w:t>
      </w:r>
    </w:p>
    <w:p w14:paraId="0CA60548" w14:textId="2FCC7DDD" w:rsidR="0014571A" w:rsidRDefault="00562517" w:rsidP="00562517">
      <w:pPr>
        <w:numPr>
          <w:ilvl w:val="1"/>
          <w:numId w:val="7"/>
        </w:numPr>
        <w:tabs>
          <w:tab w:val="clear" w:pos="567"/>
        </w:tabs>
        <w:spacing w:after="120"/>
        <w:ind w:left="1260" w:hanging="693"/>
        <w:jc w:val="both"/>
      </w:pPr>
      <w:r>
        <w:rPr>
          <w:lang w:val="ru"/>
        </w:rPr>
        <w:t xml:space="preserve">поддержка межсессионных заседаний РК ГСНО для сосредоточения внимания на программах ГСНО в рамках Десятилетия науки об океане, на достижениях, интеграции и планировании наследия ГСНО; </w:t>
      </w:r>
    </w:p>
    <w:p w14:paraId="5825415E" w14:textId="47A6EA26" w:rsidR="0014571A" w:rsidRDefault="00562517" w:rsidP="00562517">
      <w:pPr>
        <w:numPr>
          <w:ilvl w:val="1"/>
          <w:numId w:val="7"/>
        </w:numPr>
        <w:tabs>
          <w:tab w:val="clear" w:pos="567"/>
        </w:tabs>
        <w:spacing w:after="120"/>
        <w:ind w:left="1260" w:hanging="693"/>
        <w:jc w:val="both"/>
      </w:pPr>
      <w:r>
        <w:rPr>
          <w:color w:val="333333"/>
          <w:lang w:val="ru"/>
        </w:rPr>
        <w:t xml:space="preserve">составление дорожной карты для определения возможностей координации с сообществом, связанным со спутниками, включая Комитет по спутникам наблюдения Земли; </w:t>
      </w:r>
    </w:p>
    <w:p w14:paraId="2849A56A" w14:textId="478FA700" w:rsidR="0014571A" w:rsidRDefault="00562517" w:rsidP="005C2CD8">
      <w:pPr>
        <w:numPr>
          <w:ilvl w:val="1"/>
          <w:numId w:val="7"/>
        </w:numPr>
        <w:tabs>
          <w:tab w:val="clear" w:pos="567"/>
        </w:tabs>
        <w:spacing w:after="120"/>
        <w:ind w:left="1260" w:hanging="693"/>
        <w:jc w:val="both"/>
      </w:pPr>
      <w:r>
        <w:rPr>
          <w:color w:val="333333"/>
          <w:lang w:val="ru"/>
        </w:rPr>
        <w:t xml:space="preserve">разработка стратегии ГСНО в отношении взаимодействия с частным сектором; продолжение создания возможностей для взаимодействия частного сектора с ГСНО, включая партнерство с Обществом морских технологий, НОАА и частным сектором в рамках Инициативы по развитию предпринимательства, связанного с океаном; </w:t>
      </w:r>
    </w:p>
    <w:p w14:paraId="2C5BAD6C" w14:textId="36BAECBD" w:rsidR="0014571A" w:rsidRDefault="00562517" w:rsidP="00562517">
      <w:pPr>
        <w:numPr>
          <w:ilvl w:val="1"/>
          <w:numId w:val="7"/>
        </w:numPr>
        <w:tabs>
          <w:tab w:val="clear" w:pos="567"/>
        </w:tabs>
        <w:spacing w:after="120"/>
        <w:ind w:left="1260" w:hanging="693"/>
        <w:jc w:val="both"/>
      </w:pPr>
      <w:r>
        <w:rPr>
          <w:color w:val="333333"/>
          <w:lang w:val="ru"/>
        </w:rPr>
        <w:t>поддержка развития Системы</w:t>
      </w:r>
      <w:r>
        <w:rPr>
          <w:b/>
          <w:bCs/>
          <w:color w:val="333333"/>
          <w:lang w:val="ru"/>
        </w:rPr>
        <w:t xml:space="preserve"> </w:t>
      </w:r>
      <w:r>
        <w:rPr>
          <w:color w:val="333333"/>
          <w:lang w:val="ru"/>
        </w:rPr>
        <w:t>примеров передового опыта в области океанических исследований в сторону Системы примеров передового опыта в области океанических исследований МОК (СПОО) (пункт 3.4 повестки дня);</w:t>
      </w:r>
    </w:p>
    <w:p w14:paraId="5418E0E0" w14:textId="2DA379FF" w:rsidR="0014571A" w:rsidRDefault="00562517" w:rsidP="00562517">
      <w:pPr>
        <w:numPr>
          <w:ilvl w:val="1"/>
          <w:numId w:val="7"/>
        </w:numPr>
        <w:tabs>
          <w:tab w:val="clear" w:pos="567"/>
        </w:tabs>
        <w:spacing w:after="240"/>
        <w:ind w:left="1260" w:hanging="693"/>
        <w:jc w:val="both"/>
      </w:pPr>
      <w:r>
        <w:rPr>
          <w:color w:val="333333"/>
          <w:lang w:val="ru"/>
        </w:rPr>
        <w:t xml:space="preserve">подготовка </w:t>
      </w:r>
      <w:r>
        <w:rPr>
          <w:i/>
          <w:iCs/>
          <w:color w:val="333333"/>
          <w:lang w:val="ru"/>
        </w:rPr>
        <w:t xml:space="preserve">Отчетной карты ГСНО за 2025 год </w:t>
      </w:r>
      <w:r>
        <w:rPr>
          <w:color w:val="333333"/>
          <w:lang w:val="ru"/>
        </w:rPr>
        <w:t xml:space="preserve">— ежегодного доклада высокого уровня о состоянии, потенциале и ценности глобальной системы наблюдений за океаном, разработанный в сотрудничестве с OceanOPS (а также за 2026 и 2027 годы). </w:t>
      </w:r>
    </w:p>
    <w:p w14:paraId="5977C6A4" w14:textId="77777777" w:rsidR="0014571A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</w:pPr>
      <w:r>
        <w:rPr>
          <w:u w:val="single"/>
          <w:lang w:val="ru"/>
        </w:rPr>
        <w:t>Требуемые дополнительные ресурсы:</w:t>
      </w:r>
      <w:r>
        <w:rPr>
          <w:lang w:val="ru"/>
        </w:rPr>
        <w:t xml:space="preserve"> Поддержка взаимодействия с частным сектором потребует поддержки в натуральной форме в размере 20 % ЭПЗ, СПОО P2 ЭПЗ (для всей МОК).</w:t>
      </w:r>
    </w:p>
    <w:p w14:paraId="630C768A" w14:textId="77777777" w:rsidR="0014571A" w:rsidRPr="00944FA0" w:rsidRDefault="00DA2532" w:rsidP="00944F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00"/>
        <w:ind w:left="709" w:hanging="709"/>
        <w:jc w:val="both"/>
        <w:rPr>
          <w:b/>
          <w:u w:val="single"/>
        </w:rPr>
      </w:pPr>
      <w:r>
        <w:rPr>
          <w:b/>
          <w:bCs/>
          <w:u w:val="single"/>
          <w:lang w:val="ru"/>
        </w:rPr>
        <w:t>Реформирование ГСНО (Стратегия ГСНО на период до 2030 ода, Цель 3)</w:t>
      </w:r>
    </w:p>
    <w:p w14:paraId="702C7AB9" w14:textId="4DA6833D" w:rsidR="0014571A" w:rsidRPr="00645AE5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lang w:val="ru"/>
        </w:rPr>
      </w:pPr>
      <w:r>
        <w:rPr>
          <w:u w:val="single"/>
          <w:lang w:val="ru"/>
        </w:rPr>
        <w:t>Обзор:</w:t>
      </w:r>
      <w:r>
        <w:rPr>
          <w:lang w:val="ru"/>
        </w:rPr>
        <w:t xml:space="preserve"> Согласно поручениям государств-членов (см. пункт 4.5.1 повестки дня) реформа ГСНО является важной частью плана работы на следующий двухлетний период, как </w:t>
      </w:r>
      <w:r>
        <w:rPr>
          <w:lang w:val="ru"/>
        </w:rPr>
        <w:lastRenderedPageBreak/>
        <w:t>подчеркивается в цели 3 Стратегии ГСНО: для создания ГСНО, нацеленной в будущее. РК ГСНО признает потребность в стратегически важной глобальной инфраструктуре для наблюдений за океаном.</w:t>
      </w:r>
      <w:r>
        <w:rPr>
          <w:i/>
          <w:iCs/>
          <w:lang w:val="ru"/>
        </w:rPr>
        <w:t xml:space="preserve"> </w:t>
      </w:r>
      <w:r>
        <w:rPr>
          <w:lang w:val="ru"/>
        </w:rPr>
        <w:t xml:space="preserve"> </w:t>
      </w:r>
    </w:p>
    <w:p w14:paraId="756D0F4D" w14:textId="07C12270" w:rsidR="0014571A" w:rsidRPr="00645AE5" w:rsidRDefault="00DA2532" w:rsidP="00944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jc w:val="both"/>
        <w:rPr>
          <w:lang w:val="ru"/>
        </w:rPr>
      </w:pPr>
      <w:r>
        <w:rPr>
          <w:u w:val="single"/>
          <w:lang w:val="ru"/>
        </w:rPr>
        <w:t>Действия</w:t>
      </w:r>
      <w:r>
        <w:rPr>
          <w:lang w:val="ru"/>
        </w:rPr>
        <w:t xml:space="preserve">: Провести реформу ГСНО на основе метода двойного ромба. </w:t>
      </w:r>
    </w:p>
    <w:p w14:paraId="73F1062A" w14:textId="17B57254" w:rsidR="0014571A" w:rsidRDefault="00DA2532" w:rsidP="00944FA0">
      <w:pPr>
        <w:numPr>
          <w:ilvl w:val="1"/>
          <w:numId w:val="8"/>
        </w:numPr>
        <w:tabs>
          <w:tab w:val="clear" w:pos="567"/>
        </w:tabs>
        <w:spacing w:after="120"/>
        <w:ind w:left="1276" w:hanging="567"/>
        <w:jc w:val="both"/>
      </w:pPr>
      <w:r>
        <w:rPr>
          <w:lang w:val="ru"/>
        </w:rPr>
        <w:t xml:space="preserve">Первый ромб реализуется в 2025 году и включает, при наличии консультационной поддержки, обзорный доклад о «Миссии ГСНО» и сфере ее применения, отчетный доклад о «Структуре ГСНО» и создание начального предложения по реформированию ГСНО одновременно с разработкой «Комплекса коммуникационных инструментов ГСНО» (2025 г.). </w:t>
      </w:r>
    </w:p>
    <w:p w14:paraId="00866994" w14:textId="4E829C10" w:rsidR="0014571A" w:rsidRDefault="00DA2532" w:rsidP="00944FA0">
      <w:pPr>
        <w:numPr>
          <w:ilvl w:val="1"/>
          <w:numId w:val="8"/>
        </w:numPr>
        <w:tabs>
          <w:tab w:val="clear" w:pos="567"/>
        </w:tabs>
        <w:spacing w:after="240"/>
        <w:ind w:left="1276" w:hanging="567"/>
        <w:jc w:val="both"/>
      </w:pPr>
      <w:r>
        <w:rPr>
          <w:lang w:val="ru"/>
        </w:rPr>
        <w:t>На основании результатов первого ромба, начиная с 2026 года и далее, в рамках второго ромба будут рассматриваться: внедрение пересмотренной структуры и управления ГСНО (миссия, сфера применения, структура, пересмотр круга ведения, механизмы внедрения), стратегия пользователя и использования, разработка плана опорной сети наблюдений ГСНО, Плана коммуникации ГСНО и пересмотр Стратегии ГСНО на период до 2030 года, наряду с координацией по архитектуре данных МОК.</w:t>
      </w:r>
    </w:p>
    <w:p w14:paraId="3F8D1108" w14:textId="4A2B4E11" w:rsidR="0014571A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</w:pPr>
      <w:r>
        <w:rPr>
          <w:u w:val="single"/>
          <w:lang w:val="ru"/>
        </w:rPr>
        <w:t>Ресурсы:</w:t>
      </w:r>
      <w:r>
        <w:rPr>
          <w:lang w:val="ru"/>
        </w:rPr>
        <w:t xml:space="preserve"> Реализация первого ромба осуществляется за счет регулярного бюджета, ресурсы для осуществления второго ромба еще предстоит определить (см. документ </w:t>
      </w:r>
      <w:bookmarkStart w:id="0" w:name="_Hlk136349465"/>
      <w:r>
        <w:rPr>
          <w:color w:val="000000" w:themeColor="text1"/>
          <w:sz w:val="20"/>
          <w:szCs w:val="20"/>
          <w:lang w:val="ru"/>
        </w:rPr>
        <w:fldChar w:fldCharType="begin"/>
      </w:r>
      <w:r>
        <w:rPr>
          <w:color w:val="000000" w:themeColor="text1"/>
          <w:sz w:val="20"/>
          <w:szCs w:val="20"/>
          <w:lang w:val="ru"/>
        </w:rPr>
        <w:instrText>HYPERLINK "https://oceanexpert.org/document/36643"</w:instrText>
      </w:r>
      <w:r>
        <w:rPr>
          <w:color w:val="000000" w:themeColor="text1"/>
          <w:sz w:val="20"/>
          <w:szCs w:val="20"/>
          <w:lang w:val="ru"/>
        </w:rPr>
      </w:r>
      <w:r>
        <w:rPr>
          <w:color w:val="000000" w:themeColor="text1"/>
          <w:sz w:val="20"/>
          <w:szCs w:val="20"/>
          <w:lang w:val="ru"/>
        </w:rPr>
        <w:fldChar w:fldCharType="separate"/>
      </w:r>
      <w:r>
        <w:rPr>
          <w:rStyle w:val="Hyperlink"/>
          <w:sz w:val="20"/>
          <w:szCs w:val="20"/>
          <w:lang w:val="ru"/>
        </w:rPr>
        <w:t>IOC/A-33/4.5.1.Doc(1)</w:t>
      </w:r>
      <w:bookmarkEnd w:id="0"/>
      <w:r>
        <w:rPr>
          <w:color w:val="000000" w:themeColor="text1"/>
          <w:sz w:val="20"/>
          <w:szCs w:val="20"/>
          <w:lang w:val="ru"/>
        </w:rPr>
        <w:fldChar w:fldCharType="end"/>
      </w:r>
      <w:r>
        <w:rPr>
          <w:color w:val="000000" w:themeColor="text1"/>
          <w:sz w:val="20"/>
          <w:szCs w:val="20"/>
          <w:lang w:val="ru"/>
        </w:rPr>
        <w:t>)</w:t>
      </w:r>
      <w:r>
        <w:rPr>
          <w:lang w:val="ru"/>
        </w:rPr>
        <w:t xml:space="preserve">. </w:t>
      </w:r>
    </w:p>
    <w:p w14:paraId="21D33793" w14:textId="77777777" w:rsidR="0014571A" w:rsidRDefault="00DA2532">
      <w:pPr>
        <w:pStyle w:val="Heading3"/>
      </w:pPr>
      <w:r>
        <w:rPr>
          <w:bCs/>
          <w:lang w:val="ru"/>
        </w:rPr>
        <w:t>Финансовые и административные последствия</w:t>
      </w:r>
    </w:p>
    <w:p w14:paraId="3F07D546" w14:textId="26209C85" w:rsidR="0014571A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</w:rPr>
      </w:pPr>
      <w:r>
        <w:rPr>
          <w:lang w:val="ru"/>
        </w:rPr>
        <w:t>За 2024-2025 годы следующие государства-члены и организации сделали финансовые взносы или взносы в натуральной форме для поддержки координации ГСНО: Всемирная метеорологическая организация, Дания, Европейская комиссия Китай, Монако, Норвегия, США и Франция.</w:t>
      </w:r>
    </w:p>
    <w:p w14:paraId="2A8DB439" w14:textId="4D80196D" w:rsidR="0014571A" w:rsidRPr="00645AE5" w:rsidRDefault="00DA2532" w:rsidP="00942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>Непосредственные финансовые и административные последствия учтены в рамках регулярного бюджета МОК, в частности по Результату 1 МОК Программы и бюджета 42 C/5, и следующего бюджета 43 C/5</w:t>
      </w:r>
      <w:r>
        <w:rPr>
          <w:color w:val="000000"/>
          <w:lang w:val="ru"/>
        </w:rPr>
        <w:t xml:space="preserve">. </w:t>
      </w:r>
      <w:r>
        <w:rPr>
          <w:lang w:val="ru"/>
        </w:rPr>
        <w:t>Несмотря на увеличение финансирования ГСНО в рамках бюджета 42 C/5, сохраняется дефицит ресурсов, как указано в плане работы выше (пункт 5)</w:t>
      </w:r>
      <w:r>
        <w:rPr>
          <w:color w:val="000000"/>
          <w:lang w:val="ru"/>
        </w:rPr>
        <w:t xml:space="preserve">. </w:t>
      </w:r>
    </w:p>
    <w:sectPr w:rsidR="0014571A" w:rsidRPr="00645AE5">
      <w:headerReference w:type="even" r:id="rId14"/>
      <w:headerReference w:type="default" r:id="rId15"/>
      <w:headerReference w:type="first" r:id="rId16"/>
      <w:pgSz w:w="11906" w:h="16838"/>
      <w:pgMar w:top="1418" w:right="1134" w:bottom="1134" w:left="1134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BED4" w14:textId="77777777" w:rsidR="0085447D" w:rsidRDefault="0085447D">
      <w:r>
        <w:separator/>
      </w:r>
    </w:p>
  </w:endnote>
  <w:endnote w:type="continuationSeparator" w:id="0">
    <w:p w14:paraId="67B0DAEC" w14:textId="77777777" w:rsidR="0085447D" w:rsidRDefault="0085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D063" w14:textId="77777777" w:rsidR="0085447D" w:rsidRDefault="0085447D">
      <w:r>
        <w:separator/>
      </w:r>
    </w:p>
  </w:footnote>
  <w:footnote w:type="continuationSeparator" w:id="0">
    <w:p w14:paraId="6342AF71" w14:textId="77777777" w:rsidR="0085447D" w:rsidRDefault="0085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7DD6" w14:textId="3BFEFF35" w:rsidR="0014571A" w:rsidRPr="004A4FF3" w:rsidRDefault="00942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IOC/A-33/4.5.2.Doc(1)</w:t>
    </w:r>
  </w:p>
  <w:p w14:paraId="63E0516F" w14:textId="4DA88CFC" w:rsidR="0014571A" w:rsidRPr="004A4FF3" w:rsidRDefault="00DA25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9774" w14:textId="27DD0D83" w:rsidR="0014571A" w:rsidRPr="00645AE5" w:rsidRDefault="00942637" w:rsidP="00942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 w:val="20"/>
        <w:szCs w:val="20"/>
      </w:rPr>
    </w:pPr>
    <w:bookmarkStart w:id="1" w:name="_Hlk135735159"/>
    <w:r w:rsidRPr="00645AE5">
      <w:rPr>
        <w:color w:val="000000" w:themeColor="text1"/>
        <w:sz w:val="20"/>
        <w:szCs w:val="20"/>
        <w:lang w:val="ru"/>
      </w:rPr>
      <w:t>IOC/A-33/4.5.2.Doc(1)</w:t>
    </w:r>
    <w:bookmarkEnd w:id="1"/>
  </w:p>
  <w:p w14:paraId="33ED21FF" w14:textId="56359033" w:rsidR="0014571A" w:rsidRPr="00645AE5" w:rsidRDefault="00DA2532" w:rsidP="00942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  <w:sz w:val="20"/>
        <w:szCs w:val="20"/>
      </w:rPr>
    </w:pPr>
    <w:r w:rsidRPr="00645AE5">
      <w:rPr>
        <w:color w:val="000000"/>
        <w:sz w:val="20"/>
        <w:szCs w:val="20"/>
        <w:lang w:val="ru"/>
      </w:rPr>
      <w:t>страница </w:t>
    </w:r>
    <w:r w:rsidRPr="00645AE5">
      <w:rPr>
        <w:color w:val="000000"/>
        <w:sz w:val="20"/>
        <w:szCs w:val="20"/>
        <w:lang w:val="ru"/>
      </w:rPr>
      <w:fldChar w:fldCharType="begin"/>
    </w:r>
    <w:r w:rsidRPr="00645AE5">
      <w:rPr>
        <w:color w:val="000000"/>
        <w:sz w:val="20"/>
        <w:szCs w:val="20"/>
        <w:lang w:val="ru"/>
      </w:rPr>
      <w:instrText>PAGE</w:instrText>
    </w:r>
    <w:r w:rsidRPr="00645AE5">
      <w:rPr>
        <w:color w:val="000000"/>
        <w:sz w:val="20"/>
        <w:szCs w:val="20"/>
        <w:lang w:val="ru"/>
      </w:rPr>
      <w:fldChar w:fldCharType="separate"/>
    </w:r>
    <w:r w:rsidRPr="00645AE5">
      <w:rPr>
        <w:noProof/>
        <w:color w:val="000000"/>
        <w:sz w:val="20"/>
        <w:szCs w:val="20"/>
        <w:lang w:val="ru"/>
      </w:rPr>
      <w:t>3</w:t>
    </w:r>
    <w:r w:rsidRPr="00645AE5">
      <w:rPr>
        <w:color w:val="000000"/>
        <w:sz w:val="20"/>
        <w:szCs w:val="20"/>
        <w:lang w:val="ru"/>
      </w:rPr>
      <w:fldChar w:fldCharType="end"/>
    </w:r>
  </w:p>
  <w:p w14:paraId="2B3DF9D9" w14:textId="77777777" w:rsidR="0014571A" w:rsidRPr="004A4FF3" w:rsidRDefault="0014571A" w:rsidP="00942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51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805B" w14:textId="77777777" w:rsidR="00DB694B" w:rsidRDefault="00DB694B" w:rsidP="00DB694B">
    <w:pPr>
      <w:pBdr>
        <w:top w:val="nil"/>
        <w:left w:val="nil"/>
        <w:bottom w:val="nil"/>
        <w:right w:val="nil"/>
        <w:between w:val="nil"/>
      </w:pBdr>
      <w:tabs>
        <w:tab w:val="left" w:pos="5954"/>
        <w:tab w:val="left" w:pos="7560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>IOC/A-33/4.5.2.Doc(1)</w:t>
    </w:r>
  </w:p>
  <w:p w14:paraId="183CDBA2" w14:textId="03078EED" w:rsidR="00DB694B" w:rsidRDefault="00DB694B" w:rsidP="00DB694B">
    <w:pPr>
      <w:tabs>
        <w:tab w:val="left" w:pos="5954"/>
        <w:tab w:val="left" w:pos="7560"/>
      </w:tabs>
      <w:jc w:val="both"/>
    </w:pPr>
    <w:r>
      <w:rPr>
        <w:noProof/>
        <w:lang w:val="ru"/>
      </w:rPr>
      <w:drawing>
        <wp:anchor distT="0" distB="0" distL="114300" distR="114300" simplePos="0" relativeHeight="251659264" behindDoc="0" locked="0" layoutInCell="1" hidden="0" allowOverlap="1" wp14:anchorId="4898A588" wp14:editId="2313291A">
          <wp:simplePos x="0" y="0"/>
          <wp:positionH relativeFrom="column">
            <wp:posOffset>-120650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3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ru"/>
      </w:rPr>
      <w:tab/>
      <w:t>Париж, 14 мая 2025 г.</w:t>
    </w:r>
  </w:p>
  <w:p w14:paraId="71C28EA5" w14:textId="77777777" w:rsidR="00DB694B" w:rsidRDefault="00DB694B" w:rsidP="00DB694B">
    <w:pPr>
      <w:tabs>
        <w:tab w:val="left" w:pos="5954"/>
        <w:tab w:val="left" w:pos="7560"/>
      </w:tabs>
      <w:jc w:val="both"/>
    </w:pPr>
    <w:r>
      <w:rPr>
        <w:lang w:val="ru"/>
      </w:rPr>
      <w:tab/>
      <w:t>Язык оригинала: английский</w:t>
    </w:r>
  </w:p>
  <w:p w14:paraId="4FE74401" w14:textId="77777777" w:rsidR="00DB694B" w:rsidRDefault="00DB694B" w:rsidP="00DB694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b/>
      </w:rPr>
    </w:pPr>
  </w:p>
  <w:p w14:paraId="7628C223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14ACA883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3EC95D5E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4E0FA654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496CD3C9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</w:rPr>
    </w:pPr>
  </w:p>
  <w:p w14:paraId="6F0595BE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444E7E0E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  <w:r>
      <w:rPr>
        <w:lang w:val="ru"/>
      </w:rPr>
      <w:t>(ЮНЕСКО)</w:t>
    </w:r>
  </w:p>
  <w:p w14:paraId="1246A572" w14:textId="77777777" w:rsidR="00DB694B" w:rsidRDefault="00DB694B" w:rsidP="00DB694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</w:p>
  <w:p w14:paraId="3B45CF65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</w:rPr>
    </w:pPr>
    <w:r>
      <w:rPr>
        <w:b/>
        <w:bCs/>
        <w:lang w:val="ru"/>
      </w:rPr>
      <w:t>Тридцать третья сессия Ассамблеи</w:t>
    </w:r>
  </w:p>
  <w:p w14:paraId="00322C63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  <w:r>
      <w:rPr>
        <w:lang w:val="ru"/>
      </w:rPr>
      <w:t>ЮНЕСКО, 25 июня – 3 июля 2025 г.</w:t>
    </w:r>
  </w:p>
  <w:p w14:paraId="1FDD8B83" w14:textId="77777777" w:rsidR="00DB694B" w:rsidRDefault="00DB694B" w:rsidP="00DB694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</w:pPr>
  </w:p>
  <w:p w14:paraId="113DE740" w14:textId="77777777" w:rsidR="00DB694B" w:rsidRDefault="00DB694B" w:rsidP="00DB694B">
    <w:pPr>
      <w:jc w:val="center"/>
    </w:pPr>
  </w:p>
  <w:p w14:paraId="0EDD4F21" w14:textId="77777777" w:rsidR="00DB694B" w:rsidRDefault="00DB694B" w:rsidP="00DB694B">
    <w:pPr>
      <w:jc w:val="center"/>
    </w:pPr>
  </w:p>
  <w:p w14:paraId="5B316666" w14:textId="77777777" w:rsidR="00DB694B" w:rsidRDefault="00DB694B" w:rsidP="00DB694B">
    <w:pPr>
      <w:jc w:val="center"/>
    </w:pPr>
  </w:p>
  <w:p w14:paraId="113246DA" w14:textId="77777777" w:rsidR="00DB694B" w:rsidRDefault="00DB694B" w:rsidP="00DB694B">
    <w:pPr>
      <w:jc w:val="center"/>
    </w:pPr>
  </w:p>
  <w:p w14:paraId="50D4CCF8" w14:textId="77777777" w:rsidR="00DB694B" w:rsidRDefault="00DB694B" w:rsidP="00DB694B">
    <w:pPr>
      <w:jc w:val="center"/>
    </w:pPr>
  </w:p>
  <w:p w14:paraId="0EC833A4" w14:textId="77777777" w:rsidR="00DB694B" w:rsidRPr="00942637" w:rsidRDefault="00DB694B" w:rsidP="00DB694B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</w:rPr>
    </w:pPr>
    <w:r>
      <w:rPr>
        <w:color w:val="000000"/>
        <w:sz w:val="24"/>
        <w:szCs w:val="24"/>
        <w:u w:val="single"/>
        <w:lang w:val="ru"/>
      </w:rPr>
      <w:t xml:space="preserve">Пункт </w:t>
    </w:r>
    <w:r>
      <w:rPr>
        <w:b/>
        <w:bCs/>
        <w:color w:val="000000"/>
        <w:sz w:val="24"/>
        <w:szCs w:val="24"/>
        <w:u w:val="single"/>
        <w:lang w:val="ru"/>
      </w:rPr>
      <w:t>4.5.2</w:t>
    </w:r>
    <w:r>
      <w:rPr>
        <w:color w:val="000000"/>
        <w:sz w:val="24"/>
        <w:szCs w:val="24"/>
        <w:u w:val="single"/>
        <w:lang w:val="ru"/>
      </w:rPr>
      <w:t xml:space="preserve"> предварительной повестки дня</w:t>
    </w:r>
  </w:p>
  <w:p w14:paraId="3171E37C" w14:textId="77777777" w:rsidR="00DB694B" w:rsidRDefault="00DB694B" w:rsidP="00DB694B"/>
  <w:p w14:paraId="7930DBC4" w14:textId="77777777" w:rsidR="00DB694B" w:rsidRDefault="00DB694B" w:rsidP="00DB694B"/>
  <w:p w14:paraId="626BF898" w14:textId="77777777" w:rsidR="00DB694B" w:rsidRDefault="00DB694B" w:rsidP="00DB694B"/>
  <w:p w14:paraId="632CCBF0" w14:textId="77777777" w:rsidR="00DB694B" w:rsidRDefault="00DB694B" w:rsidP="00DB6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b/>
        <w:bCs/>
        <w:smallCaps/>
        <w:color w:val="000000"/>
        <w:sz w:val="24"/>
        <w:szCs w:val="24"/>
        <w:lang w:val="ru"/>
      </w:rPr>
      <w:t xml:space="preserve">РАБОЧИЙ ПЛАН РУКОВОДЯЩЕГО КОМИТЕТА ГЛОБАЛЬНОЙ СИСТЕМЫ </w:t>
    </w:r>
    <w:r>
      <w:rPr>
        <w:smallCaps/>
        <w:color w:val="000000"/>
        <w:sz w:val="24"/>
        <w:szCs w:val="24"/>
        <w:lang w:val="ru"/>
      </w:rPr>
      <w:br/>
    </w:r>
    <w:r>
      <w:rPr>
        <w:b/>
        <w:bCs/>
        <w:smallCaps/>
        <w:color w:val="000000"/>
        <w:sz w:val="24"/>
        <w:szCs w:val="24"/>
        <w:lang w:val="ru"/>
      </w:rPr>
      <w:t>НАБЛЮДЕНИЙ ЗА ОКЕАНОМ</w:t>
    </w:r>
  </w:p>
  <w:p w14:paraId="2D75D450" w14:textId="1A64079B" w:rsidR="0014571A" w:rsidRPr="00DB694B" w:rsidRDefault="0014571A" w:rsidP="00DB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CCB"/>
    <w:multiLevelType w:val="multilevel"/>
    <w:tmpl w:val="1056FF6A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4A90"/>
    <w:multiLevelType w:val="multilevel"/>
    <w:tmpl w:val="4E407EC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A03"/>
    <w:multiLevelType w:val="multilevel"/>
    <w:tmpl w:val="DC54FC8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741F"/>
    <w:multiLevelType w:val="multilevel"/>
    <w:tmpl w:val="03C270B4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2429"/>
    <w:multiLevelType w:val="multilevel"/>
    <w:tmpl w:val="EC00696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32BF3"/>
    <w:multiLevelType w:val="multilevel"/>
    <w:tmpl w:val="65167F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5B6D1D"/>
    <w:multiLevelType w:val="multilevel"/>
    <w:tmpl w:val="02D4C2A8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F9D"/>
    <w:multiLevelType w:val="hybridMultilevel"/>
    <w:tmpl w:val="A08245FA"/>
    <w:lvl w:ilvl="0" w:tplc="8A58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24903">
    <w:abstractNumId w:val="5"/>
  </w:num>
  <w:num w:numId="2" w16cid:durableId="1355300252">
    <w:abstractNumId w:val="0"/>
  </w:num>
  <w:num w:numId="3" w16cid:durableId="1575890201">
    <w:abstractNumId w:val="7"/>
  </w:num>
  <w:num w:numId="4" w16cid:durableId="1745957543">
    <w:abstractNumId w:val="4"/>
  </w:num>
  <w:num w:numId="5" w16cid:durableId="1684237455">
    <w:abstractNumId w:val="2"/>
  </w:num>
  <w:num w:numId="6" w16cid:durableId="579020915">
    <w:abstractNumId w:val="3"/>
  </w:num>
  <w:num w:numId="7" w16cid:durableId="995452093">
    <w:abstractNumId w:val="6"/>
  </w:num>
  <w:num w:numId="8" w16cid:durableId="105704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1A"/>
    <w:rsid w:val="000152FD"/>
    <w:rsid w:val="0014272A"/>
    <w:rsid w:val="0014571A"/>
    <w:rsid w:val="001F3FB5"/>
    <w:rsid w:val="0020080F"/>
    <w:rsid w:val="002F295F"/>
    <w:rsid w:val="00303F08"/>
    <w:rsid w:val="003663A2"/>
    <w:rsid w:val="00411E17"/>
    <w:rsid w:val="004A4FF3"/>
    <w:rsid w:val="004C235C"/>
    <w:rsid w:val="004F49B5"/>
    <w:rsid w:val="00562517"/>
    <w:rsid w:val="0061553B"/>
    <w:rsid w:val="00645AE5"/>
    <w:rsid w:val="007B5219"/>
    <w:rsid w:val="007F78E8"/>
    <w:rsid w:val="0085447D"/>
    <w:rsid w:val="008A235A"/>
    <w:rsid w:val="00942637"/>
    <w:rsid w:val="00944FA0"/>
    <w:rsid w:val="009F0F2D"/>
    <w:rsid w:val="00AC0AE4"/>
    <w:rsid w:val="00B21B68"/>
    <w:rsid w:val="00B37CB5"/>
    <w:rsid w:val="00BF5FA1"/>
    <w:rsid w:val="00C17854"/>
    <w:rsid w:val="00C5122A"/>
    <w:rsid w:val="00DA2532"/>
    <w:rsid w:val="00DB694B"/>
    <w:rsid w:val="00DD2477"/>
    <w:rsid w:val="00E43541"/>
    <w:rsid w:val="00E7249D"/>
    <w:rsid w:val="00E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71620"/>
  <w15:docId w15:val="{1DDB54BB-12E7-4BE0-A216-C1EB83F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946928"/>
    <w:pPr>
      <w:tabs>
        <w:tab w:val="clear" w:pos="567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0C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BD2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D2"/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D4842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D4842"/>
    <w:rPr>
      <w:b/>
      <w:smallCaps/>
    </w:rPr>
  </w:style>
  <w:style w:type="character" w:customStyle="1" w:styleId="Heading3Char">
    <w:name w:val="Heading 3 Char"/>
    <w:basedOn w:val="DefaultParagraphFont"/>
    <w:link w:val="Heading3"/>
    <w:uiPriority w:val="9"/>
    <w:rsid w:val="003D484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D484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42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42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D4842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D4842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4842"/>
    <w:pPr>
      <w:tabs>
        <w:tab w:val="clear" w:pos="567"/>
      </w:tabs>
      <w:spacing w:line="276" w:lineRule="auto"/>
      <w:ind w:left="720"/>
      <w:contextualSpacing/>
    </w:pPr>
    <w:rPr>
      <w:lang w:val="en"/>
    </w:rPr>
  </w:style>
  <w:style w:type="character" w:styleId="Hyperlink">
    <w:name w:val="Hyperlink"/>
    <w:uiPriority w:val="99"/>
    <w:unhideWhenUsed/>
    <w:rsid w:val="003D4842"/>
    <w:rPr>
      <w:color w:val="0563C1"/>
      <w:u w:val="single"/>
    </w:rPr>
  </w:style>
  <w:style w:type="paragraph" w:styleId="NoSpacing">
    <w:name w:val="No Spacing"/>
    <w:uiPriority w:val="1"/>
    <w:qFormat/>
    <w:rsid w:val="003D4842"/>
  </w:style>
  <w:style w:type="paragraph" w:styleId="FootnoteText">
    <w:name w:val="footnote text"/>
    <w:basedOn w:val="Normal"/>
    <w:link w:val="FootnoteTextChar"/>
    <w:uiPriority w:val="99"/>
    <w:semiHidden/>
    <w:unhideWhenUsed/>
    <w:rsid w:val="00EB7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2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2A3"/>
    <w:rPr>
      <w:vertAlign w:val="superscript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42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B694B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94B"/>
  </w:style>
  <w:style w:type="paragraph" w:styleId="NormalWeb">
    <w:name w:val="Normal (Web)"/>
    <w:basedOn w:val="Normal"/>
    <w:uiPriority w:val="99"/>
    <w:semiHidden/>
    <w:unhideWhenUsed/>
    <w:rsid w:val="000152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anexpert.net/document/8600" TargetMode="External"/><Relationship Id="rId13" Type="http://schemas.openxmlformats.org/officeDocument/2006/relationships/hyperlink" Target="https://unesdoc.unesco.org/ark:/48223/pf00002112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socean.org/document/245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socean.org/document/361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ceanexpert.org/event/4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6272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tf3pVVnBu7jWhqwEMTQqunL2MA==">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2375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Legler</dc:creator>
  <cp:keywords/>
  <dc:description/>
  <cp:lastModifiedBy>Boned, Patrice</cp:lastModifiedBy>
  <cp:revision>3</cp:revision>
  <cp:lastPrinted>2025-05-26T18:20:00Z</cp:lastPrinted>
  <dcterms:created xsi:type="dcterms:W3CDTF">2025-05-26T18:20:00Z</dcterms:created>
  <dcterms:modified xsi:type="dcterms:W3CDTF">2025-05-26T18:21:00Z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