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76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4"/>
      </w:tblGrid>
      <w:tr w:rsidR="00E33134" w:rsidRPr="0051704D" w14:paraId="6253EDAD" w14:textId="77777777">
        <w:trPr>
          <w:jc w:val="center"/>
        </w:trPr>
        <w:tc>
          <w:tcPr>
            <w:tcW w:w="7654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86B9867" w14:textId="77777777" w:rsidR="00E33134" w:rsidRDefault="000F7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  <w:lang w:val="ru"/>
              </w:rPr>
              <w:t>Резюме</w:t>
            </w:r>
          </w:p>
          <w:p w14:paraId="32C2800F" w14:textId="58823165" w:rsidR="00E33134" w:rsidRPr="0051704D" w:rsidRDefault="000F73A3">
            <w:pPr>
              <w:spacing w:after="120"/>
              <w:jc w:val="both"/>
              <w:rPr>
                <w:lang w:val="ru"/>
              </w:rPr>
            </w:pPr>
            <w:hyperlink r:id="rId7" w:history="1">
              <w:r>
                <w:rPr>
                  <w:rStyle w:val="Hyperlink"/>
                  <w:lang w:val="ru"/>
                </w:rPr>
                <w:t>Резолюцией XXX-2</w:t>
              </w:r>
            </w:hyperlink>
            <w:r>
              <w:rPr>
                <w:lang w:val="ru"/>
              </w:rPr>
              <w:t xml:space="preserve"> МОК был учрежден Совместный совет по сотрудничеству между ВМО и МОК (ССС) с приведенным в резолюции кругом ведения. Работа Совета осуществляется в соответствии с четырехгодичной </w:t>
            </w:r>
            <w:hyperlink r:id="rId8" w:history="1">
              <w:r>
                <w:rPr>
                  <w:rStyle w:val="Hyperlink"/>
                  <w:i/>
                  <w:iCs/>
                  <w:lang w:val="ru"/>
                </w:rPr>
                <w:t>Стратегией сотрудничества между ВМО и МОК</w:t>
              </w:r>
            </w:hyperlink>
            <w:r>
              <w:rPr>
                <w:lang w:val="ru"/>
              </w:rPr>
              <w:t xml:space="preserve"> на 2022-2025 гг. </w:t>
            </w:r>
          </w:p>
          <w:p w14:paraId="6AB794B7" w14:textId="77777777" w:rsidR="00E33134" w:rsidRPr="0051704D" w:rsidRDefault="000F73A3">
            <w:pPr>
              <w:spacing w:after="120"/>
              <w:jc w:val="both"/>
              <w:rPr>
                <w:lang w:val="ru"/>
              </w:rPr>
            </w:pPr>
            <w:r>
              <w:rPr>
                <w:lang w:val="ru"/>
              </w:rPr>
              <w:t xml:space="preserve">В настоящем документе представлен обновленный доклад ССС, включая приоритетные области работы. </w:t>
            </w:r>
          </w:p>
          <w:p w14:paraId="1FD12572" w14:textId="56BC4334" w:rsidR="00E33134" w:rsidRPr="0051704D" w:rsidRDefault="000F73A3">
            <w:pPr>
              <w:spacing w:after="120"/>
              <w:jc w:val="both"/>
              <w:rPr>
                <w:i/>
                <w:lang w:val="ru"/>
              </w:rPr>
            </w:pPr>
            <w:r>
              <w:rPr>
                <w:lang w:val="ru"/>
              </w:rPr>
              <w:t xml:space="preserve">Финансовые и административные последствия: пункт 15. </w:t>
            </w:r>
          </w:p>
          <w:p w14:paraId="35964EA5" w14:textId="1DC027B3" w:rsidR="00E33134" w:rsidRPr="0051704D" w:rsidRDefault="000F7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i/>
                <w:color w:val="000000"/>
                <w:lang w:val="ru"/>
              </w:rPr>
            </w:pPr>
            <w:r>
              <w:rPr>
                <w:color w:val="000000"/>
                <w:u w:val="single"/>
                <w:lang w:val="ru"/>
              </w:rPr>
              <w:t>Предлагаемое(-ые) решение(-я)</w:t>
            </w:r>
            <w:r>
              <w:rPr>
                <w:color w:val="000000"/>
                <w:lang w:val="ru"/>
              </w:rPr>
              <w:t xml:space="preserve"> представлено(-ы) в Документе о принятых и предлагаемых мерах (документ </w:t>
            </w:r>
            <w:hyperlink r:id="rId9" w:history="1">
              <w:r>
                <w:rPr>
                  <w:rStyle w:val="Hyperlink"/>
                  <w:lang w:val="ru"/>
                </w:rPr>
                <w:t>IOC/A-33/2 Prov.</w:t>
              </w:r>
            </w:hyperlink>
            <w:r>
              <w:rPr>
                <w:color w:val="000000"/>
                <w:lang w:val="ru"/>
              </w:rPr>
              <w:t>) под номером A-33/Dec.4.6.</w:t>
            </w:r>
          </w:p>
        </w:tc>
      </w:tr>
    </w:tbl>
    <w:p w14:paraId="23C51C94" w14:textId="77777777" w:rsidR="00125497" w:rsidRPr="0051704D" w:rsidRDefault="00125497">
      <w:pPr>
        <w:pStyle w:val="Heading3"/>
        <w:rPr>
          <w:lang w:val="ru"/>
        </w:rPr>
      </w:pPr>
    </w:p>
    <w:p w14:paraId="28DA9C92" w14:textId="77777777" w:rsidR="00125497" w:rsidRPr="0051704D" w:rsidRDefault="00125497">
      <w:pPr>
        <w:rPr>
          <w:b/>
          <w:lang w:val="ru"/>
        </w:rPr>
      </w:pPr>
      <w:r>
        <w:rPr>
          <w:lang w:val="ru"/>
        </w:rPr>
        <w:br w:type="page"/>
      </w:r>
    </w:p>
    <w:p w14:paraId="0BCD570E" w14:textId="5BE6305F" w:rsidR="00E33134" w:rsidRDefault="000F73A3">
      <w:pPr>
        <w:pStyle w:val="Heading3"/>
      </w:pPr>
      <w:r>
        <w:rPr>
          <w:bCs/>
          <w:lang w:val="ru"/>
        </w:rPr>
        <w:lastRenderedPageBreak/>
        <w:t>Введение</w:t>
      </w:r>
    </w:p>
    <w:p w14:paraId="5F91622A" w14:textId="65B545FC" w:rsidR="00E33134" w:rsidRPr="0051704D" w:rsidRDefault="000F73A3" w:rsidP="003E25FF">
      <w:pPr>
        <w:numPr>
          <w:ilvl w:val="0"/>
          <w:numId w:val="1"/>
        </w:numPr>
        <w:tabs>
          <w:tab w:val="clear" w:pos="567"/>
          <w:tab w:val="left" w:pos="709"/>
        </w:tabs>
        <w:spacing w:after="200"/>
        <w:jc w:val="both"/>
        <w:rPr>
          <w:lang w:val="ru"/>
        </w:rPr>
      </w:pPr>
      <w:r>
        <w:rPr>
          <w:lang w:val="ru"/>
        </w:rPr>
        <w:t xml:space="preserve">Ассамблея МОК на своей 30-й сессии в 2019 году приняла </w:t>
      </w:r>
      <w:hyperlink r:id="rId10">
        <w:r>
          <w:rPr>
            <w:color w:val="1155CC"/>
            <w:u w:val="single"/>
            <w:lang w:val="ru"/>
          </w:rPr>
          <w:t>резолюцию XXX-2</w:t>
        </w:r>
      </w:hyperlink>
      <w:r>
        <w:rPr>
          <w:lang w:val="ru"/>
        </w:rPr>
        <w:t xml:space="preserve">, в которой совместно с параллельной резолюцией 9 (Cg-18) 18-й сессии Всемирного метеорологического конгресса создала Совместный совет по сотрудничеству между ВМО и МОК (именуемый далее ССС). В июне 2021 года Исполнительный совет ВМО на своем 73-м заседании и Ассамблея МОК на своей 31-й сессии приняли </w:t>
      </w:r>
      <w:hyperlink r:id="rId11">
        <w:r>
          <w:rPr>
            <w:color w:val="1155CC"/>
            <w:u w:val="single"/>
            <w:lang w:val="ru"/>
          </w:rPr>
          <w:t>Стратегию сотрудничества между ВМО и МОК</w:t>
        </w:r>
      </w:hyperlink>
      <w:r>
        <w:rPr>
          <w:lang w:val="ru"/>
        </w:rPr>
        <w:t xml:space="preserve">. </w:t>
      </w:r>
    </w:p>
    <w:p w14:paraId="676FDA4B" w14:textId="63BBAE04" w:rsidR="00E33134" w:rsidRPr="0051704D" w:rsidRDefault="000F73A3" w:rsidP="00125497">
      <w:pPr>
        <w:numPr>
          <w:ilvl w:val="0"/>
          <w:numId w:val="1"/>
        </w:numPr>
        <w:shd w:val="clear" w:color="auto" w:fill="FFFFFF"/>
        <w:tabs>
          <w:tab w:val="clear" w:pos="567"/>
          <w:tab w:val="left" w:pos="709"/>
        </w:tabs>
        <w:spacing w:after="200"/>
        <w:jc w:val="both"/>
        <w:rPr>
          <w:lang w:val="ru"/>
        </w:rPr>
      </w:pPr>
      <w:r>
        <w:rPr>
          <w:lang w:val="ru"/>
        </w:rPr>
        <w:t xml:space="preserve">Настоящий документ содержит обновленный доклад о работе ССС, начиная с 57-го заседания Исполнительного совета МОК в июне 2024 года.  </w:t>
      </w:r>
    </w:p>
    <w:p w14:paraId="491664CF" w14:textId="77777777" w:rsidR="00E33134" w:rsidRDefault="000F73A3">
      <w:pPr>
        <w:tabs>
          <w:tab w:val="left" w:pos="709"/>
        </w:tabs>
        <w:spacing w:after="240"/>
        <w:jc w:val="both"/>
        <w:rPr>
          <w:b/>
        </w:rPr>
      </w:pPr>
      <w:r>
        <w:rPr>
          <w:b/>
          <w:bCs/>
          <w:lang w:val="ru"/>
        </w:rPr>
        <w:t>Общая информация</w:t>
      </w:r>
    </w:p>
    <w:p w14:paraId="7B2632CF" w14:textId="77777777" w:rsidR="00E33134" w:rsidRPr="0051704D" w:rsidRDefault="000F73A3" w:rsidP="003E25FF">
      <w:pPr>
        <w:numPr>
          <w:ilvl w:val="0"/>
          <w:numId w:val="1"/>
        </w:numPr>
        <w:shd w:val="clear" w:color="auto" w:fill="FFFFFF"/>
        <w:tabs>
          <w:tab w:val="clear" w:pos="567"/>
          <w:tab w:val="left" w:pos="709"/>
        </w:tabs>
        <w:spacing w:after="200"/>
        <w:jc w:val="both"/>
        <w:rPr>
          <w:lang w:val="ru"/>
        </w:rPr>
      </w:pPr>
      <w:r>
        <w:rPr>
          <w:lang w:val="ru"/>
        </w:rPr>
        <w:t xml:space="preserve">ССС был учрежден в 2019 году для содействия сотрудничеству между ВМО и МОК. Его целью является развитие сотрудничества по всем аспектам цепочки приращения стоимости, включая наблюдения, прогнозирование, управление данными, исследования и услуги для сообществ, связанных с погодой, водными ресурсами, климатом и океаном. </w:t>
      </w:r>
    </w:p>
    <w:p w14:paraId="037838B2" w14:textId="77777777" w:rsidR="00E33134" w:rsidRPr="0051704D" w:rsidRDefault="000F73A3" w:rsidP="003E25FF">
      <w:pPr>
        <w:numPr>
          <w:ilvl w:val="0"/>
          <w:numId w:val="1"/>
        </w:numPr>
        <w:shd w:val="clear" w:color="auto" w:fill="FFFFFF"/>
        <w:tabs>
          <w:tab w:val="clear" w:pos="567"/>
          <w:tab w:val="left" w:pos="709"/>
        </w:tabs>
        <w:spacing w:after="200"/>
        <w:jc w:val="both"/>
        <w:rPr>
          <w:lang w:val="ru"/>
        </w:rPr>
      </w:pPr>
      <w:r>
        <w:rPr>
          <w:lang w:val="ru"/>
        </w:rPr>
        <w:t xml:space="preserve">Работа ССС поддерживает глобальные обязательства по снижению риска бедствий, борьбе с изменением климата и устойчивому развитию. Она осуществляется с учетом концепций как ВМО, так и МОК, с акцентом на обеспечение устойчивости к экстремальным явлениям и потребность в здоровом океане. ССС признает взаимодополняемость задач ВМО и МОК, при этом ВМО уделяет особое внимание погоде, климату и услугам, связанным с водными ресурсами, а МОК делает акцент на научном понимании океана и взаимодействии между различными системами. </w:t>
      </w:r>
    </w:p>
    <w:p w14:paraId="3623C421" w14:textId="182733CD" w:rsidR="00E33134" w:rsidRPr="0051704D" w:rsidRDefault="000F73A3" w:rsidP="003E25FF">
      <w:pPr>
        <w:numPr>
          <w:ilvl w:val="0"/>
          <w:numId w:val="1"/>
        </w:numPr>
        <w:shd w:val="clear" w:color="auto" w:fill="FFFFFF"/>
        <w:tabs>
          <w:tab w:val="clear" w:pos="567"/>
          <w:tab w:val="left" w:pos="709"/>
        </w:tabs>
        <w:spacing w:after="200"/>
        <w:jc w:val="both"/>
        <w:rPr>
          <w:lang w:val="ru"/>
        </w:rPr>
      </w:pPr>
      <w:r>
        <w:rPr>
          <w:lang w:val="ru"/>
        </w:rPr>
        <w:t xml:space="preserve">Признавая ключевые общественные факторы, связанные с риском и экономикой, ССС старается укрепить партнерские связи между МОК и ВМО в рамках подхода на основе системы Земля. ССС направлен на содействие сотрудничеству посредством эффективной коммуникации, разработки стандартов, удовлетворения потребности в услугах, инициатив по взаимной поддержке, развития потенциала и региональных подходов. ССС играет ведущую и решающую роль в реализации этих подходов.  </w:t>
      </w:r>
    </w:p>
    <w:p w14:paraId="1527FA10" w14:textId="7069672E" w:rsidR="00E33134" w:rsidRDefault="000F73A3" w:rsidP="003E25FF">
      <w:pPr>
        <w:numPr>
          <w:ilvl w:val="0"/>
          <w:numId w:val="1"/>
        </w:numPr>
        <w:shd w:val="clear" w:color="auto" w:fill="FFFFFF"/>
        <w:tabs>
          <w:tab w:val="clear" w:pos="567"/>
          <w:tab w:val="left" w:pos="709"/>
        </w:tabs>
        <w:spacing w:after="200"/>
        <w:jc w:val="both"/>
      </w:pPr>
      <w:r>
        <w:rPr>
          <w:lang w:val="ru"/>
        </w:rPr>
        <w:t xml:space="preserve">В июне 2021 г. Исполнительный совет ВМО на своем 73-м заседании и Ассамблея МОК на своей 31-й сессии приняли </w:t>
      </w:r>
      <w:hyperlink r:id="rId12" w:history="1">
        <w:r>
          <w:rPr>
            <w:rStyle w:val="Hyperlink"/>
            <w:i/>
            <w:iCs/>
            <w:lang w:val="ru"/>
          </w:rPr>
          <w:t>Стратегию сотрудничества между ВМО и МОК</w:t>
        </w:r>
      </w:hyperlink>
      <w:r>
        <w:rPr>
          <w:lang w:val="ru"/>
        </w:rPr>
        <w:t xml:space="preserve"> на 2022–2025 гг. (</w:t>
      </w:r>
      <w:hyperlink r:id="rId13">
        <w:r>
          <w:rPr>
            <w:color w:val="1155CC"/>
            <w:u w:val="single"/>
            <w:lang w:val="ru"/>
          </w:rPr>
          <w:t>решение МОК A-31/3.5.5</w:t>
        </w:r>
      </w:hyperlink>
      <w:r>
        <w:rPr>
          <w:lang w:val="ru"/>
        </w:rPr>
        <w:t>).</w:t>
      </w:r>
    </w:p>
    <w:p w14:paraId="39B0E3A5" w14:textId="260657D4" w:rsidR="00E33134" w:rsidRDefault="000F73A3" w:rsidP="003E25FF">
      <w:pPr>
        <w:numPr>
          <w:ilvl w:val="0"/>
          <w:numId w:val="1"/>
        </w:numPr>
        <w:shd w:val="clear" w:color="auto" w:fill="FFFFFF"/>
        <w:tabs>
          <w:tab w:val="clear" w:pos="567"/>
          <w:tab w:val="left" w:pos="709"/>
        </w:tabs>
        <w:spacing w:after="200"/>
        <w:jc w:val="both"/>
      </w:pPr>
      <w:r>
        <w:rPr>
          <w:lang w:val="ru"/>
        </w:rPr>
        <w:t xml:space="preserve">В своем </w:t>
      </w:r>
      <w:hyperlink r:id="rId14">
        <w:r>
          <w:rPr>
            <w:color w:val="1155CC"/>
            <w:u w:val="single"/>
            <w:lang w:val="ru"/>
          </w:rPr>
          <w:t>решении A-32/4.9</w:t>
        </w:r>
      </w:hyperlink>
      <w:r>
        <w:rPr>
          <w:lang w:val="ru"/>
        </w:rPr>
        <w:t xml:space="preserve"> Ассамблея МОК попросила Исполнительного секретаря проконтролировать проведение Совместным советом по сотрудничеству между ВМО и МОК оценки своей деятельности и представить информацию о ее результатах Исполнительному совету МОК в 2024 г., который дал оценку ее эффективности в документе </w:t>
      </w:r>
      <w:hyperlink r:id="rId15">
        <w:r>
          <w:rPr>
            <w:color w:val="1155CC"/>
            <w:u w:val="single"/>
            <w:lang w:val="ru"/>
          </w:rPr>
          <w:t>IOC/INF-1536</w:t>
        </w:r>
      </w:hyperlink>
      <w:r>
        <w:rPr>
          <w:lang w:val="ru"/>
        </w:rPr>
        <w:t>.</w:t>
      </w:r>
    </w:p>
    <w:p w14:paraId="4D9ABB21" w14:textId="4B21599C" w:rsidR="00E33134" w:rsidRDefault="000F73A3">
      <w:pPr>
        <w:pStyle w:val="Heading3"/>
      </w:pPr>
      <w:r>
        <w:rPr>
          <w:bCs/>
          <w:lang w:val="ru"/>
        </w:rPr>
        <w:t>Результаты очного совещания</w:t>
      </w:r>
    </w:p>
    <w:p w14:paraId="4409AF5D" w14:textId="77777777" w:rsidR="00E33134" w:rsidRPr="0051704D" w:rsidRDefault="000F73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40"/>
        <w:jc w:val="both"/>
        <w:rPr>
          <w:highlight w:val="white"/>
          <w:lang w:val="ru"/>
        </w:rPr>
      </w:pPr>
      <w:r>
        <w:rPr>
          <w:highlight w:val="white"/>
          <w:lang w:val="ru"/>
        </w:rPr>
        <w:t>Заседание Совместного совета по сотрудничеству между ВМО и МОК в сентябре 2024 года (</w:t>
      </w:r>
      <w:hyperlink r:id="rId16" w:anchor="overview">
        <w:r>
          <w:rPr>
            <w:color w:val="1155CC"/>
            <w:highlight w:val="white"/>
            <w:u w:val="single"/>
            <w:lang w:val="ru"/>
          </w:rPr>
          <w:t>ССС3 Часть 2</w:t>
        </w:r>
      </w:hyperlink>
      <w:r>
        <w:rPr>
          <w:highlight w:val="white"/>
          <w:lang w:val="ru"/>
        </w:rPr>
        <w:t xml:space="preserve">) стало первым очным собранием членов Совета с момента его учреждения. На заседании была подчеркнута важность более частых встреч, и ССС согласился проводить ежегодные очные заседания в дополнение к виртуальным сессиям. Основной целью заседания стало выделение ключевых приоритетных областей приложения усилий ССС. Они были определены с помощью многокритериального анализа потенциальных тем, выбранных ССС.  </w:t>
      </w:r>
    </w:p>
    <w:p w14:paraId="42995C79" w14:textId="77777777" w:rsidR="00E33134" w:rsidRPr="0051704D" w:rsidRDefault="000F73A3">
      <w:pPr>
        <w:numPr>
          <w:ilvl w:val="0"/>
          <w:numId w:val="1"/>
        </w:numPr>
        <w:shd w:val="clear" w:color="auto" w:fill="FFFFFF"/>
        <w:tabs>
          <w:tab w:val="left" w:pos="709"/>
        </w:tabs>
        <w:spacing w:after="240"/>
        <w:jc w:val="both"/>
        <w:rPr>
          <w:highlight w:val="white"/>
          <w:lang w:val="ru"/>
        </w:rPr>
      </w:pPr>
      <w:r>
        <w:rPr>
          <w:highlight w:val="white"/>
          <w:lang w:val="ru"/>
        </w:rPr>
        <w:t xml:space="preserve">Перед проведением очного заседания члены ССС, занимающиеся наблюдениями, данными, прогнозированием, услугами и региональными областями, при поддержке секретариатов ВМО и МОК определили перечень тем, представляющих широкий спектр интересов. Затем на заседании члены выработали критерии ранжирования этих приоритетов, которые включали стратегическую согласованность со стратегией сотрудничества ВМО и </w:t>
      </w:r>
      <w:r>
        <w:rPr>
          <w:highlight w:val="white"/>
          <w:lang w:val="ru"/>
        </w:rPr>
        <w:lastRenderedPageBreak/>
        <w:t xml:space="preserve">МОК, социально-экономическое воздействие, осуществимость, воздействие на пользователя, потенциал внесения изменений для ССС и направленность на будущее. Члены ранжировали приоритеты с помощью шкалы Ликерта, при этом приоритеты с наивысшим рейтингом были выбраны для дальнейшей разработки. </w:t>
      </w:r>
    </w:p>
    <w:p w14:paraId="107D780F" w14:textId="28882B65" w:rsidR="00E33134" w:rsidRDefault="000F73A3">
      <w:pPr>
        <w:numPr>
          <w:ilvl w:val="0"/>
          <w:numId w:val="1"/>
        </w:numPr>
        <w:shd w:val="clear" w:color="auto" w:fill="FFFFFF"/>
        <w:tabs>
          <w:tab w:val="left" w:pos="709"/>
        </w:tabs>
        <w:spacing w:after="240"/>
        <w:jc w:val="both"/>
        <w:rPr>
          <w:highlight w:val="white"/>
        </w:rPr>
      </w:pPr>
      <w:r>
        <w:rPr>
          <w:highlight w:val="white"/>
          <w:lang w:val="ru"/>
        </w:rPr>
        <w:t xml:space="preserve">Приоритетные области работы были классифицированы следующим образом: </w:t>
      </w:r>
    </w:p>
    <w:p w14:paraId="387392B8" w14:textId="77777777" w:rsidR="00E33134" w:rsidRDefault="000F73A3" w:rsidP="006D6337">
      <w:pPr>
        <w:numPr>
          <w:ilvl w:val="1"/>
          <w:numId w:val="1"/>
        </w:numPr>
        <w:shd w:val="clear" w:color="auto" w:fill="FFFFFF"/>
        <w:tabs>
          <w:tab w:val="left" w:pos="709"/>
        </w:tabs>
        <w:spacing w:after="200"/>
        <w:rPr>
          <w:highlight w:val="white"/>
        </w:rPr>
      </w:pPr>
      <w:r>
        <w:rPr>
          <w:b/>
          <w:bCs/>
          <w:highlight w:val="white"/>
          <w:lang w:val="ru"/>
        </w:rPr>
        <w:t>Глобальная опорная сеть наблюдений (ГОСН):</w:t>
      </w:r>
      <w:r>
        <w:rPr>
          <w:highlight w:val="white"/>
          <w:lang w:val="ru"/>
        </w:rPr>
        <w:t xml:space="preserve"> </w:t>
      </w:r>
      <w:r>
        <w:rPr>
          <w:highlight w:val="white"/>
          <w:lang w:val="ru"/>
        </w:rPr>
        <w:br/>
        <w:t xml:space="preserve">Совместная разработка определения ГОСН для океана, включающая дополнительные переменные показатели состояния океана. </w:t>
      </w:r>
    </w:p>
    <w:p w14:paraId="44D06A52" w14:textId="77777777" w:rsidR="00E33134" w:rsidRDefault="000F73A3" w:rsidP="006D6337">
      <w:pPr>
        <w:numPr>
          <w:ilvl w:val="1"/>
          <w:numId w:val="1"/>
        </w:numPr>
        <w:shd w:val="clear" w:color="auto" w:fill="FFFFFF"/>
        <w:tabs>
          <w:tab w:val="left" w:pos="709"/>
        </w:tabs>
        <w:spacing w:after="200"/>
        <w:rPr>
          <w:highlight w:val="white"/>
        </w:rPr>
      </w:pPr>
      <w:r>
        <w:rPr>
          <w:b/>
          <w:bCs/>
          <w:highlight w:val="white"/>
          <w:lang w:val="ru"/>
        </w:rPr>
        <w:t>Управление данными и операционная совместимость данных:</w:t>
      </w:r>
      <w:r>
        <w:rPr>
          <w:highlight w:val="white"/>
          <w:lang w:val="ru"/>
        </w:rPr>
        <w:t xml:space="preserve"> </w:t>
      </w:r>
      <w:r>
        <w:rPr>
          <w:highlight w:val="white"/>
          <w:lang w:val="ru"/>
        </w:rPr>
        <w:br/>
        <w:t xml:space="preserve">Совершенствование операционной совместимости для интегрированной сети наблюдений и данных, улучшение обмена данными между Информационной системой ВМО и Системой океанографических данных и информации (ОДИС), а также разработка структурированного подхода к системам данных о морском климате. </w:t>
      </w:r>
    </w:p>
    <w:p w14:paraId="0A8B9E97" w14:textId="77777777" w:rsidR="00E33134" w:rsidRDefault="000F73A3" w:rsidP="006D6337">
      <w:pPr>
        <w:numPr>
          <w:ilvl w:val="1"/>
          <w:numId w:val="1"/>
        </w:numPr>
        <w:shd w:val="clear" w:color="auto" w:fill="FFFFFF"/>
        <w:tabs>
          <w:tab w:val="left" w:pos="709"/>
        </w:tabs>
        <w:spacing w:after="200"/>
        <w:rPr>
          <w:highlight w:val="white"/>
        </w:rPr>
      </w:pPr>
      <w:r>
        <w:rPr>
          <w:b/>
          <w:bCs/>
          <w:highlight w:val="white"/>
          <w:lang w:val="ru"/>
        </w:rPr>
        <w:t>Устойчивость прибрежных и морских районов:</w:t>
      </w:r>
      <w:r>
        <w:rPr>
          <w:highlight w:val="white"/>
          <w:lang w:val="ru"/>
        </w:rPr>
        <w:t xml:space="preserve"> </w:t>
      </w:r>
      <w:r>
        <w:rPr>
          <w:highlight w:val="white"/>
          <w:lang w:val="ru"/>
        </w:rPr>
        <w:br/>
        <w:t xml:space="preserve">Укрепление устойчивости сообществ прибрежных и морских районов к опасностям и поддержка инициативы ООН «Заблаговременные предупреждения для всех» (EW4All), в том числе путем включения опасностей, связанных с океаном. </w:t>
      </w:r>
    </w:p>
    <w:p w14:paraId="294FAF52" w14:textId="32731F62" w:rsidR="00E33134" w:rsidRPr="0051704D" w:rsidRDefault="000F73A3" w:rsidP="006D6337">
      <w:pPr>
        <w:numPr>
          <w:ilvl w:val="1"/>
          <w:numId w:val="1"/>
        </w:numPr>
        <w:shd w:val="clear" w:color="auto" w:fill="FFFFFF"/>
        <w:tabs>
          <w:tab w:val="left" w:pos="709"/>
        </w:tabs>
        <w:spacing w:after="200"/>
        <w:rPr>
          <w:highlight w:val="white"/>
          <w:lang w:val="ru"/>
        </w:rPr>
      </w:pPr>
      <w:r>
        <w:rPr>
          <w:b/>
          <w:bCs/>
          <w:highlight w:val="white"/>
          <w:lang w:val="ru"/>
        </w:rPr>
        <w:t>Развитие потенциала:</w:t>
      </w:r>
      <w:r>
        <w:rPr>
          <w:highlight w:val="white"/>
          <w:lang w:val="ru"/>
        </w:rPr>
        <w:t xml:space="preserve"> </w:t>
      </w:r>
      <w:r>
        <w:rPr>
          <w:highlight w:val="white"/>
          <w:lang w:val="ru"/>
        </w:rPr>
        <w:br/>
        <w:t xml:space="preserve">Совместные усилия по развитию потенциала для расширения возможностей как для океанографии, так и для метеорологии. Они предполагают объединение графиков подготовки с учреждением совместных центров подготовки и ресурсов ВМО и МОК. </w:t>
      </w:r>
    </w:p>
    <w:p w14:paraId="7105938F" w14:textId="7CCE92E4" w:rsidR="00E33134" w:rsidRPr="0051704D" w:rsidRDefault="000F73A3" w:rsidP="006D6337">
      <w:pPr>
        <w:numPr>
          <w:ilvl w:val="0"/>
          <w:numId w:val="1"/>
        </w:numPr>
        <w:shd w:val="clear" w:color="auto" w:fill="FFFFFF"/>
        <w:tabs>
          <w:tab w:val="clear" w:pos="567"/>
          <w:tab w:val="left" w:pos="709"/>
        </w:tabs>
        <w:spacing w:after="240"/>
        <w:jc w:val="both"/>
        <w:rPr>
          <w:highlight w:val="white"/>
          <w:lang w:val="ru"/>
        </w:rPr>
      </w:pPr>
      <w:r>
        <w:rPr>
          <w:highlight w:val="white"/>
          <w:lang w:val="ru"/>
        </w:rPr>
        <w:t xml:space="preserve">На заседании ССС была подчеркнута необходимость укрепления сотрудничества и стратегического планирования для решения насущных проблем в области океана и метеорологии. ССС также согласился создать две подгруппы для активизации деятельности по двум приоритетным областям работы: (а) ГОСН и (b) Управление данными и операционная совместимость данных. </w:t>
      </w:r>
    </w:p>
    <w:p w14:paraId="7DFACCAE" w14:textId="77777777" w:rsidR="00E33134" w:rsidRDefault="000F73A3">
      <w:pPr>
        <w:shd w:val="clear" w:color="auto" w:fill="FFFFFF"/>
        <w:tabs>
          <w:tab w:val="left" w:pos="709"/>
        </w:tabs>
        <w:spacing w:after="240"/>
        <w:jc w:val="both"/>
        <w:rPr>
          <w:b/>
          <w:highlight w:val="white"/>
        </w:rPr>
      </w:pPr>
      <w:r>
        <w:rPr>
          <w:b/>
          <w:bCs/>
          <w:highlight w:val="white"/>
          <w:lang w:val="ru"/>
        </w:rPr>
        <w:t>Доклад о достигнутом прогрессе</w:t>
      </w:r>
    </w:p>
    <w:p w14:paraId="198B399B" w14:textId="1E2F0C7F" w:rsidR="00E33134" w:rsidRDefault="000F73A3">
      <w:pPr>
        <w:numPr>
          <w:ilvl w:val="0"/>
          <w:numId w:val="1"/>
        </w:numPr>
        <w:shd w:val="clear" w:color="auto" w:fill="FFFFFF"/>
        <w:tabs>
          <w:tab w:val="left" w:pos="709"/>
        </w:tabs>
        <w:spacing w:after="200"/>
        <w:jc w:val="both"/>
        <w:rPr>
          <w:highlight w:val="white"/>
        </w:rPr>
      </w:pPr>
      <w:r>
        <w:rPr>
          <w:lang w:val="ru"/>
        </w:rPr>
        <w:t>Краткий обзор прогресса, достигнутого в каждой определенной приоритетной области работы представлен ниже:</w:t>
      </w:r>
    </w:p>
    <w:p w14:paraId="0D2DB5AB" w14:textId="19A8C814" w:rsidR="00E33134" w:rsidRPr="0051704D" w:rsidRDefault="006D6337" w:rsidP="006D6337">
      <w:pPr>
        <w:shd w:val="clear" w:color="auto" w:fill="FFFFFF"/>
        <w:tabs>
          <w:tab w:val="clear" w:pos="567"/>
        </w:tabs>
        <w:spacing w:after="200"/>
        <w:ind w:left="1418" w:hanging="567"/>
        <w:rPr>
          <w:highlight w:val="white"/>
          <w:lang w:val="ru"/>
        </w:rPr>
      </w:pPr>
      <w:r>
        <w:rPr>
          <w:lang w:val="ru"/>
        </w:rPr>
        <w:t>aa.</w:t>
      </w:r>
      <w:r>
        <w:rPr>
          <w:lang w:val="ru"/>
        </w:rPr>
        <w:tab/>
      </w:r>
      <w:r>
        <w:rPr>
          <w:b/>
          <w:bCs/>
          <w:lang w:val="ru"/>
        </w:rPr>
        <w:t xml:space="preserve">Глобальная опорная сеть наблюдений (ГОСН): </w:t>
      </w:r>
      <w:r>
        <w:rPr>
          <w:lang w:val="ru"/>
        </w:rPr>
        <w:br/>
        <w:t xml:space="preserve">Круг ведения для совместной подгруппы ССС по ГОСН был подготовлен и согласован с сопредседателями ССС. Также был определен состав подгруппы. Группа начнет свою работу. Результаты ССС по ГОСН были представлены и с удовлетворением отмечены на 14-м заседании Руководящего комитета ГСНО в феврале 2025 г. (см. </w:t>
      </w:r>
      <w:r>
        <w:rPr>
          <w:color w:val="000000" w:themeColor="text1"/>
          <w:sz w:val="20"/>
          <w:szCs w:val="20"/>
          <w:lang w:val="ru"/>
        </w:rPr>
        <w:t>ГСНО-305).</w:t>
      </w:r>
    </w:p>
    <w:p w14:paraId="2D9F2A1A" w14:textId="53A7F284" w:rsidR="00E33134" w:rsidRPr="0051704D" w:rsidRDefault="006D6337" w:rsidP="006D6337">
      <w:pPr>
        <w:shd w:val="clear" w:color="auto" w:fill="FFFFFF"/>
        <w:tabs>
          <w:tab w:val="clear" w:pos="567"/>
        </w:tabs>
        <w:spacing w:after="200"/>
        <w:ind w:left="1418" w:hanging="567"/>
        <w:rPr>
          <w:highlight w:val="white"/>
          <w:lang w:val="ru"/>
        </w:rPr>
      </w:pPr>
      <w:r>
        <w:rPr>
          <w:lang w:val="ru"/>
        </w:rPr>
        <w:t>bb.</w:t>
      </w:r>
      <w:r>
        <w:rPr>
          <w:lang w:val="ru"/>
        </w:rPr>
        <w:tab/>
      </w:r>
      <w:r>
        <w:rPr>
          <w:b/>
          <w:bCs/>
          <w:lang w:val="ru"/>
        </w:rPr>
        <w:t xml:space="preserve">Управление данными и операционная совместимость данных: </w:t>
      </w:r>
      <w:r>
        <w:rPr>
          <w:lang w:val="ru"/>
        </w:rPr>
        <w:br/>
        <w:t xml:space="preserve">Круг ведения подгруппы ССС по управлению данными был разработан и впоследствии одобрен Комитетом по международному обмену океанографическими данными и информацией на его 28-й сессии в марте 2025 г.  </w:t>
      </w:r>
    </w:p>
    <w:p w14:paraId="4E1EFE23" w14:textId="44A258D9" w:rsidR="00E33134" w:rsidRPr="006D6337" w:rsidRDefault="000F73A3" w:rsidP="006D6337">
      <w:pPr>
        <w:pStyle w:val="ListParagraph"/>
        <w:numPr>
          <w:ilvl w:val="0"/>
          <w:numId w:val="2"/>
        </w:numPr>
        <w:shd w:val="clear" w:color="auto" w:fill="FFFFFF"/>
        <w:tabs>
          <w:tab w:val="clear" w:pos="567"/>
        </w:tabs>
        <w:spacing w:after="200"/>
        <w:ind w:left="1418" w:hanging="567"/>
        <w:rPr>
          <w:highlight w:val="white"/>
        </w:rPr>
      </w:pPr>
      <w:r>
        <w:rPr>
          <w:b/>
          <w:bCs/>
          <w:lang w:val="ru"/>
        </w:rPr>
        <w:t xml:space="preserve">Устойчивость прибрежных и морских районов: </w:t>
      </w:r>
      <w:r>
        <w:rPr>
          <w:lang w:val="ru"/>
        </w:rPr>
        <w:br/>
        <w:t xml:space="preserve">Эксперты ВМО и МОК внесли свой вклад в доклад </w:t>
      </w:r>
      <w:r>
        <w:rPr>
          <w:i/>
          <w:iCs/>
          <w:lang w:val="ru"/>
        </w:rPr>
        <w:t>«Метеоцунами: определение, обнаружение и исследование служб оповещения»</w:t>
      </w:r>
      <w:r>
        <w:rPr>
          <w:lang w:val="ru"/>
        </w:rPr>
        <w:t xml:space="preserve"> (</w:t>
      </w:r>
      <w:hyperlink r:id="rId17" w:history="1">
        <w:r>
          <w:rPr>
            <w:rStyle w:val="Hyperlink"/>
            <w:lang w:val="ru"/>
          </w:rPr>
          <w:t>IOC Technical Series 200</w:t>
        </w:r>
      </w:hyperlink>
      <w:r>
        <w:rPr>
          <w:lang w:val="ru"/>
        </w:rPr>
        <w:t xml:space="preserve">, 2025 г.). С оперативной точки зрения эти природные явления </w:t>
      </w:r>
      <w:r>
        <w:rPr>
          <w:lang w:val="ru"/>
        </w:rPr>
        <w:lastRenderedPageBreak/>
        <w:t xml:space="preserve">находятся в ведении национальных метеорологических и гидрологических служб (НМГС), при этом поддержка научной работы может осуществляться МОК. В настоящий момент ВМО разрабатывает руководство по длинным морским волнам метеорологического происхождения для НМГС. </w:t>
      </w:r>
      <w:r>
        <w:rPr>
          <w:lang w:val="ru"/>
        </w:rPr>
        <w:br/>
        <w:t xml:space="preserve">Кроме того, на 14-м заседании Руководящего комитета ГСНО была сформирована группа по разработке предложения по внесению вклада в инициативу EW4ALL (см. </w:t>
      </w:r>
      <w:r>
        <w:rPr>
          <w:color w:val="000000" w:themeColor="text1"/>
          <w:sz w:val="20"/>
          <w:szCs w:val="20"/>
          <w:lang w:val="ru"/>
        </w:rPr>
        <w:t>ГСНО-305)</w:t>
      </w:r>
    </w:p>
    <w:p w14:paraId="160864A0" w14:textId="2D15FFBC" w:rsidR="00E33134" w:rsidRPr="0051704D" w:rsidRDefault="006D6337" w:rsidP="006D6337">
      <w:pPr>
        <w:shd w:val="clear" w:color="auto" w:fill="FFFFFF"/>
        <w:tabs>
          <w:tab w:val="clear" w:pos="567"/>
        </w:tabs>
        <w:spacing w:after="200"/>
        <w:ind w:left="1418" w:hanging="567"/>
        <w:rPr>
          <w:highlight w:val="white"/>
          <w:lang w:val="ru"/>
        </w:rPr>
      </w:pPr>
      <w:r>
        <w:rPr>
          <w:lang w:val="ru"/>
        </w:rPr>
        <w:t>dd.</w:t>
      </w:r>
      <w:r>
        <w:rPr>
          <w:lang w:val="ru"/>
        </w:rPr>
        <w:tab/>
      </w:r>
      <w:r>
        <w:rPr>
          <w:b/>
          <w:bCs/>
          <w:lang w:val="ru"/>
        </w:rPr>
        <w:t xml:space="preserve">Развитие потенциала: </w:t>
      </w:r>
      <w:r>
        <w:rPr>
          <w:lang w:val="ru"/>
        </w:rPr>
        <w:br/>
        <w:t xml:space="preserve">Координация между ВМО и МОК включает инициативу «Глобальный кампус» и Глобальную академию «Океан-Инструктор». Члены МОК официально присоединились к Группе по развитию потенциала Исполнительного совета ВМО в качестве представителей ССС. </w:t>
      </w:r>
    </w:p>
    <w:p w14:paraId="5B0914C8" w14:textId="7693AC2A" w:rsidR="00E33134" w:rsidRDefault="000F73A3" w:rsidP="006D6337">
      <w:pPr>
        <w:shd w:val="clear" w:color="auto" w:fill="FFFFFF"/>
        <w:tabs>
          <w:tab w:val="left" w:pos="709"/>
        </w:tabs>
        <w:spacing w:after="200"/>
        <w:jc w:val="both"/>
        <w:rPr>
          <w:highlight w:val="white"/>
        </w:rPr>
      </w:pPr>
      <w:r>
        <w:rPr>
          <w:b/>
          <w:bCs/>
          <w:lang w:val="ru"/>
        </w:rPr>
        <w:t>Предлагаемые этапы</w:t>
      </w:r>
      <w:r>
        <w:rPr>
          <w:lang w:val="ru"/>
        </w:rPr>
        <w:t xml:space="preserve"> </w:t>
      </w:r>
    </w:p>
    <w:p w14:paraId="066F2183" w14:textId="23374883" w:rsidR="00E33134" w:rsidRDefault="000F73A3" w:rsidP="006D6337">
      <w:pPr>
        <w:numPr>
          <w:ilvl w:val="0"/>
          <w:numId w:val="1"/>
        </w:numPr>
        <w:shd w:val="clear" w:color="auto" w:fill="FFFFFF"/>
        <w:tabs>
          <w:tab w:val="left" w:pos="709"/>
        </w:tabs>
        <w:spacing w:after="200"/>
        <w:jc w:val="both"/>
      </w:pPr>
      <w:r>
        <w:rPr>
          <w:lang w:val="ru"/>
        </w:rPr>
        <w:t xml:space="preserve">Встреча членов ССС состоится в сентябре 2025 г. Ввиду ограниченности ресурсов она состоится в формате виртуального совещания и будет посвящена обеспечению руководства двумя подгруппами по ГОСН и управлению данными и операционной совместимости данных. </w:t>
      </w:r>
    </w:p>
    <w:p w14:paraId="706564CC" w14:textId="17413263" w:rsidR="00E33134" w:rsidRDefault="000F73A3" w:rsidP="006D6337">
      <w:pPr>
        <w:numPr>
          <w:ilvl w:val="0"/>
          <w:numId w:val="1"/>
        </w:numPr>
        <w:shd w:val="clear" w:color="auto" w:fill="FFFFFF"/>
        <w:tabs>
          <w:tab w:val="left" w:pos="709"/>
        </w:tabs>
        <w:spacing w:after="200"/>
        <w:jc w:val="both"/>
      </w:pPr>
      <w:r>
        <w:rPr>
          <w:lang w:val="ru"/>
        </w:rPr>
        <w:t>Члены ССС встретятся в режиме онлайн в марте 2026 года, чтобы подготовить доклад о результатах для 59-й сессии Исполнительного совета МОК в 2026 г.</w:t>
      </w:r>
    </w:p>
    <w:p w14:paraId="236AF1E4" w14:textId="77777777" w:rsidR="00E33134" w:rsidRDefault="000F73A3">
      <w:pPr>
        <w:pStyle w:val="Heading3"/>
      </w:pPr>
      <w:r>
        <w:rPr>
          <w:bCs/>
          <w:lang w:val="ru"/>
        </w:rPr>
        <w:t>Финансовые и административные последствия</w:t>
      </w:r>
    </w:p>
    <w:p w14:paraId="58CE70B3" w14:textId="77777777" w:rsidR="00E33134" w:rsidRDefault="000F73A3" w:rsidP="006D6337">
      <w:pPr>
        <w:numPr>
          <w:ilvl w:val="0"/>
          <w:numId w:val="1"/>
        </w:numPr>
        <w:shd w:val="clear" w:color="auto" w:fill="FFFFFF"/>
        <w:tabs>
          <w:tab w:val="left" w:pos="709"/>
        </w:tabs>
        <w:spacing w:after="200"/>
        <w:jc w:val="both"/>
        <w:rPr>
          <w:i/>
        </w:rPr>
      </w:pPr>
      <w:r>
        <w:rPr>
          <w:lang w:val="ru"/>
        </w:rPr>
        <w:t>Непосредственные финансовые и административные последствия деятельности для МОК находятся в рамках регулярного бюджета МОК (42 C/5).</w:t>
      </w:r>
    </w:p>
    <w:p w14:paraId="5CCAD2B9" w14:textId="77777777" w:rsidR="00E33134" w:rsidRDefault="00E3313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40"/>
        <w:jc w:val="both"/>
        <w:rPr>
          <w:i/>
        </w:rPr>
      </w:pPr>
    </w:p>
    <w:sectPr w:rsidR="00E33134">
      <w:headerReference w:type="even" r:id="rId18"/>
      <w:headerReference w:type="default" r:id="rId19"/>
      <w:headerReference w:type="first" r:id="rId20"/>
      <w:pgSz w:w="11906" w:h="16838"/>
      <w:pgMar w:top="1418" w:right="1134" w:bottom="1134" w:left="1134" w:header="709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91878" w14:textId="77777777" w:rsidR="000F73A3" w:rsidRDefault="000F73A3">
      <w:r>
        <w:separator/>
      </w:r>
    </w:p>
  </w:endnote>
  <w:endnote w:type="continuationSeparator" w:id="0">
    <w:p w14:paraId="5B578095" w14:textId="77777777" w:rsidR="000F73A3" w:rsidRDefault="000F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BDDC7" w14:textId="77777777" w:rsidR="000F73A3" w:rsidRDefault="000F73A3">
      <w:r>
        <w:separator/>
      </w:r>
    </w:p>
  </w:footnote>
  <w:footnote w:type="continuationSeparator" w:id="0">
    <w:p w14:paraId="0BEBBD64" w14:textId="77777777" w:rsidR="000F73A3" w:rsidRDefault="000F7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41BBF" w14:textId="4D3A3910" w:rsidR="00E33134" w:rsidRPr="003E25FF" w:rsidRDefault="000F73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  <w:lang w:val="ru"/>
      </w:rPr>
      <w:t>IOC/A-33/4.6.Doc(1)</w:t>
    </w:r>
  </w:p>
  <w:p w14:paraId="43894FDE" w14:textId="6AC80959" w:rsidR="00E33134" w:rsidRPr="003E25FF" w:rsidRDefault="000F73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  <w:lang w:val="ru"/>
      </w:rPr>
      <w:t>страница </w:t>
    </w:r>
    <w:r>
      <w:rPr>
        <w:color w:val="000000"/>
        <w:sz w:val="20"/>
        <w:szCs w:val="20"/>
        <w:lang w:val="ru"/>
      </w:rPr>
      <w:fldChar w:fldCharType="begin"/>
    </w:r>
    <w:r>
      <w:rPr>
        <w:color w:val="000000"/>
        <w:sz w:val="20"/>
        <w:szCs w:val="20"/>
        <w:lang w:val="ru"/>
      </w:rPr>
      <w:instrText>PAGE</w:instrText>
    </w:r>
    <w:r>
      <w:rPr>
        <w:color w:val="000000"/>
        <w:sz w:val="20"/>
        <w:szCs w:val="20"/>
        <w:lang w:val="ru"/>
      </w:rPr>
      <w:fldChar w:fldCharType="separate"/>
    </w:r>
    <w:r>
      <w:rPr>
        <w:noProof/>
        <w:color w:val="000000"/>
        <w:sz w:val="20"/>
        <w:szCs w:val="20"/>
        <w:lang w:val="ru"/>
      </w:rPr>
      <w:t>2</w:t>
    </w:r>
    <w:r>
      <w:rPr>
        <w:color w:val="000000"/>
        <w:sz w:val="20"/>
        <w:szCs w:val="20"/>
        <w:lang w:val="ru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54543" w14:textId="719FEC44" w:rsidR="00E33134" w:rsidRPr="003E25FF" w:rsidRDefault="000F73A3" w:rsidP="00176C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7655"/>
      <w:rPr>
        <w:color w:val="000000"/>
      </w:rPr>
    </w:pPr>
    <w:r>
      <w:rPr>
        <w:color w:val="000000"/>
        <w:sz w:val="20"/>
        <w:szCs w:val="20"/>
        <w:lang w:val="ru"/>
      </w:rPr>
      <w:t>IOC/A-33/4.6.Doc(1)</w:t>
    </w:r>
  </w:p>
  <w:p w14:paraId="787EE969" w14:textId="171B99E4" w:rsidR="00E33134" w:rsidRPr="003E25FF" w:rsidRDefault="000F73A3" w:rsidP="00176C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7655"/>
      <w:rPr>
        <w:color w:val="000000"/>
      </w:rPr>
    </w:pPr>
    <w:r>
      <w:rPr>
        <w:color w:val="000000"/>
        <w:lang w:val="ru"/>
      </w:rPr>
      <w:t>страница </w:t>
    </w:r>
    <w:r>
      <w:rPr>
        <w:color w:val="000000"/>
        <w:lang w:val="ru"/>
      </w:rPr>
      <w:fldChar w:fldCharType="begin"/>
    </w:r>
    <w:r>
      <w:rPr>
        <w:color w:val="000000"/>
        <w:lang w:val="ru"/>
      </w:rPr>
      <w:instrText>PAGE</w:instrText>
    </w:r>
    <w:r>
      <w:rPr>
        <w:color w:val="000000"/>
        <w:lang w:val="ru"/>
      </w:rPr>
      <w:fldChar w:fldCharType="separate"/>
    </w:r>
    <w:r>
      <w:rPr>
        <w:noProof/>
        <w:color w:val="000000"/>
        <w:lang w:val="ru"/>
      </w:rPr>
      <w:t>3</w:t>
    </w:r>
    <w:r>
      <w:rPr>
        <w:color w:val="000000"/>
        <w:lang w:val="ru"/>
      </w:rPr>
      <w:fldChar w:fldCharType="end"/>
    </w:r>
  </w:p>
  <w:p w14:paraId="37CD6BB0" w14:textId="77777777" w:rsidR="00E33134" w:rsidRPr="003E25FF" w:rsidRDefault="00E33134" w:rsidP="00176C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7655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81EEB" w14:textId="77777777" w:rsidR="00125497" w:rsidRDefault="00125497" w:rsidP="00125497">
    <w:pPr>
      <w:pBdr>
        <w:top w:val="nil"/>
        <w:left w:val="nil"/>
        <w:bottom w:val="nil"/>
        <w:right w:val="nil"/>
        <w:between w:val="nil"/>
      </w:pBdr>
      <w:tabs>
        <w:tab w:val="left" w:pos="5954"/>
        <w:tab w:val="left" w:pos="7560"/>
      </w:tabs>
      <w:jc w:val="both"/>
      <w:rPr>
        <w:b/>
        <w:color w:val="000000"/>
      </w:rPr>
    </w:pPr>
    <w:r>
      <w:rPr>
        <w:color w:val="000000"/>
        <w:lang w:val="ru"/>
      </w:rPr>
      <w:t>Рассылается по списку</w:t>
    </w:r>
    <w:r>
      <w:rPr>
        <w:color w:val="000000"/>
        <w:lang w:val="ru"/>
      </w:rPr>
      <w:tab/>
    </w:r>
    <w:r>
      <w:rPr>
        <w:b/>
        <w:bCs/>
        <w:color w:val="000000"/>
        <w:sz w:val="36"/>
        <w:szCs w:val="36"/>
        <w:lang w:val="ru"/>
      </w:rPr>
      <w:t xml:space="preserve">IOC/A-33/4.6.Doc(1) </w:t>
    </w:r>
  </w:p>
  <w:p w14:paraId="5486D5A4" w14:textId="77777777" w:rsidR="00125497" w:rsidRDefault="00125497" w:rsidP="00125497">
    <w:pPr>
      <w:tabs>
        <w:tab w:val="left" w:pos="5954"/>
        <w:tab w:val="left" w:pos="7560"/>
      </w:tabs>
      <w:jc w:val="both"/>
    </w:pPr>
    <w:r>
      <w:rPr>
        <w:noProof/>
        <w:lang w:val="ru"/>
      </w:rPr>
      <w:drawing>
        <wp:anchor distT="0" distB="0" distL="114300" distR="114300" simplePos="0" relativeHeight="251659264" behindDoc="0" locked="0" layoutInCell="1" hidden="0" allowOverlap="1" wp14:anchorId="43A086A1" wp14:editId="0059A722">
          <wp:simplePos x="0" y="0"/>
          <wp:positionH relativeFrom="column">
            <wp:posOffset>-121408</wp:posOffset>
          </wp:positionH>
          <wp:positionV relativeFrom="paragraph">
            <wp:posOffset>101600</wp:posOffset>
          </wp:positionV>
          <wp:extent cx="1578610" cy="1047115"/>
          <wp:effectExtent l="0" t="0" r="0" b="0"/>
          <wp:wrapSquare wrapText="bothSides" distT="0" distB="0" distL="114300" distR="114300"/>
          <wp:docPr id="1" name="image1.jpg" descr="Логотип, название компании Описание генерируется автоматически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,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lang w:val="ru"/>
      </w:rPr>
      <w:tab/>
      <w:t>Париж, 30 апреля 2025 года</w:t>
    </w:r>
  </w:p>
  <w:p w14:paraId="53BEDE3A" w14:textId="77777777" w:rsidR="00125497" w:rsidRDefault="00125497" w:rsidP="00125497">
    <w:pPr>
      <w:tabs>
        <w:tab w:val="left" w:pos="5954"/>
        <w:tab w:val="left" w:pos="7560"/>
      </w:tabs>
      <w:jc w:val="both"/>
    </w:pPr>
    <w:r>
      <w:rPr>
        <w:lang w:val="ru"/>
      </w:rPr>
      <w:tab/>
      <w:t>Язык оригинала: английский</w:t>
    </w:r>
  </w:p>
  <w:p w14:paraId="5C603541" w14:textId="77777777" w:rsidR="00125497" w:rsidRDefault="00125497" w:rsidP="00125497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245"/>
        <w:tab w:val="left" w:pos="5523"/>
        <w:tab w:val="left" w:pos="5812"/>
        <w:tab w:val="left" w:pos="7020"/>
        <w:tab w:val="left" w:pos="7088"/>
      </w:tabs>
      <w:jc w:val="both"/>
      <w:rPr>
        <w:b/>
      </w:rPr>
    </w:pPr>
  </w:p>
  <w:p w14:paraId="71E7E4D0" w14:textId="77777777" w:rsidR="00125497" w:rsidRDefault="00125497" w:rsidP="00125497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b/>
      </w:rPr>
    </w:pPr>
  </w:p>
  <w:p w14:paraId="6841F679" w14:textId="77777777" w:rsidR="00125497" w:rsidRDefault="00125497" w:rsidP="00125497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b/>
      </w:rPr>
    </w:pPr>
  </w:p>
  <w:p w14:paraId="459963FC" w14:textId="77777777" w:rsidR="00125497" w:rsidRDefault="00125497" w:rsidP="00125497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b/>
      </w:rPr>
    </w:pPr>
  </w:p>
  <w:p w14:paraId="289DA732" w14:textId="77777777" w:rsidR="00125497" w:rsidRDefault="00125497" w:rsidP="00125497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b/>
      </w:rPr>
    </w:pPr>
  </w:p>
  <w:p w14:paraId="4323EB2D" w14:textId="77777777" w:rsidR="00125497" w:rsidRDefault="00125497" w:rsidP="00125497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b/>
      </w:rPr>
    </w:pPr>
  </w:p>
  <w:p w14:paraId="5401F829" w14:textId="77777777" w:rsidR="00125497" w:rsidRDefault="00125497" w:rsidP="00125497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b/>
      </w:rPr>
    </w:pPr>
    <w:r>
      <w:rPr>
        <w:b/>
        <w:bCs/>
        <w:lang w:val="ru"/>
      </w:rPr>
      <w:t>МЕЖПРАВИТЕЛЬСТВЕННАЯ ОКЕАНОГРАФИЧЕСКАЯ КОМИССИЯ</w:t>
    </w:r>
  </w:p>
  <w:p w14:paraId="6A9A1C6D" w14:textId="77777777" w:rsidR="00125497" w:rsidRDefault="00125497" w:rsidP="00125497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</w:pPr>
    <w:r>
      <w:rPr>
        <w:lang w:val="ru"/>
      </w:rPr>
      <w:t>(ЮНЕСКО)</w:t>
    </w:r>
  </w:p>
  <w:p w14:paraId="35417224" w14:textId="77777777" w:rsidR="00125497" w:rsidRDefault="00125497" w:rsidP="00125497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b/>
      </w:rPr>
    </w:pPr>
  </w:p>
  <w:p w14:paraId="2AC4A22D" w14:textId="77777777" w:rsidR="00125497" w:rsidRDefault="00125497" w:rsidP="00125497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b/>
      </w:rPr>
    </w:pPr>
    <w:r>
      <w:rPr>
        <w:b/>
        <w:bCs/>
        <w:lang w:val="ru"/>
      </w:rPr>
      <w:t>Тридцать третья сессия Ассамблеи</w:t>
    </w:r>
  </w:p>
  <w:p w14:paraId="548E5CAE" w14:textId="77777777" w:rsidR="00125497" w:rsidRDefault="00125497" w:rsidP="00125497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</w:pPr>
    <w:r>
      <w:rPr>
        <w:lang w:val="ru"/>
      </w:rPr>
      <w:t>ЮНЕСКО, 25 июня – 3 июля 2025 г.</w:t>
    </w:r>
  </w:p>
  <w:p w14:paraId="74867239" w14:textId="77777777" w:rsidR="00125497" w:rsidRDefault="00125497" w:rsidP="00125497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</w:pPr>
  </w:p>
  <w:p w14:paraId="64D8EDF0" w14:textId="77777777" w:rsidR="00125497" w:rsidRDefault="00125497" w:rsidP="00125497">
    <w:pPr>
      <w:jc w:val="center"/>
    </w:pPr>
  </w:p>
  <w:p w14:paraId="712D0C7E" w14:textId="77777777" w:rsidR="00125497" w:rsidRDefault="00125497" w:rsidP="00125497">
    <w:pPr>
      <w:jc w:val="center"/>
    </w:pPr>
  </w:p>
  <w:p w14:paraId="684524B9" w14:textId="77777777" w:rsidR="00125497" w:rsidRDefault="00125497" w:rsidP="00125497">
    <w:pPr>
      <w:jc w:val="center"/>
    </w:pPr>
  </w:p>
  <w:p w14:paraId="3F9EBD3A" w14:textId="77777777" w:rsidR="00125497" w:rsidRDefault="00125497" w:rsidP="00125497">
    <w:pPr>
      <w:jc w:val="center"/>
    </w:pPr>
  </w:p>
  <w:p w14:paraId="47CE22C0" w14:textId="77777777" w:rsidR="00125497" w:rsidRDefault="00125497" w:rsidP="00125497">
    <w:pPr>
      <w:jc w:val="center"/>
    </w:pPr>
  </w:p>
  <w:p w14:paraId="4A1800EF" w14:textId="77777777" w:rsidR="00125497" w:rsidRPr="006D6337" w:rsidRDefault="00125497" w:rsidP="00125497">
    <w:pPr>
      <w:keepNext/>
      <w:pBdr>
        <w:top w:val="nil"/>
        <w:left w:val="nil"/>
        <w:bottom w:val="nil"/>
        <w:right w:val="nil"/>
        <w:between w:val="nil"/>
      </w:pBdr>
      <w:tabs>
        <w:tab w:val="right" w:pos="9540"/>
      </w:tabs>
      <w:rPr>
        <w:bCs/>
        <w:color w:val="000000"/>
        <w:u w:val="single"/>
      </w:rPr>
    </w:pPr>
    <w:r>
      <w:rPr>
        <w:color w:val="000000"/>
        <w:sz w:val="24"/>
        <w:szCs w:val="24"/>
        <w:u w:val="single"/>
        <w:lang w:val="ru"/>
      </w:rPr>
      <w:t xml:space="preserve">Пункт </w:t>
    </w:r>
    <w:r>
      <w:rPr>
        <w:b/>
        <w:bCs/>
        <w:color w:val="000000"/>
        <w:sz w:val="24"/>
        <w:szCs w:val="24"/>
        <w:u w:val="single"/>
        <w:lang w:val="ru"/>
      </w:rPr>
      <w:t>4.6</w:t>
    </w:r>
    <w:r>
      <w:rPr>
        <w:color w:val="000000"/>
        <w:sz w:val="24"/>
        <w:szCs w:val="24"/>
        <w:u w:val="single"/>
        <w:lang w:val="ru"/>
      </w:rPr>
      <w:t xml:space="preserve"> предварительной повестки дня</w:t>
    </w:r>
  </w:p>
  <w:p w14:paraId="15E89ADB" w14:textId="77777777" w:rsidR="00125497" w:rsidRDefault="00125497" w:rsidP="00125497"/>
  <w:p w14:paraId="178988B8" w14:textId="77777777" w:rsidR="00125497" w:rsidRDefault="00125497" w:rsidP="00125497"/>
  <w:p w14:paraId="7144BD90" w14:textId="49B6C7DF" w:rsidR="00176CF5" w:rsidRDefault="00176CF5" w:rsidP="001254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480"/>
      <w:jc w:val="center"/>
      <w:rPr>
        <w:b/>
        <w:smallCaps/>
        <w:color w:val="000000"/>
        <w:sz w:val="24"/>
        <w:szCs w:val="24"/>
      </w:rPr>
    </w:pPr>
    <w:r>
      <w:rPr>
        <w:b/>
        <w:bCs/>
        <w:smallCaps/>
        <w:color w:val="000000"/>
        <w:sz w:val="24"/>
        <w:szCs w:val="24"/>
        <w:lang w:val="ru"/>
      </w:rPr>
      <w:t>ДОКЛАД СОВМЕСТНОГО СОВЕТА ПО СОТРУДНИЧЕСТВУ МЕЖДУ ВМО И МОК</w:t>
    </w:r>
  </w:p>
  <w:p w14:paraId="1753A58A" w14:textId="30496518" w:rsidR="00E33134" w:rsidRPr="00125497" w:rsidRDefault="00E33134" w:rsidP="001254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E5516"/>
    <w:multiLevelType w:val="hybridMultilevel"/>
    <w:tmpl w:val="6AE41692"/>
    <w:lvl w:ilvl="0" w:tplc="2E46970C">
      <w:start w:val="29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C4E7A"/>
    <w:multiLevelType w:val="multilevel"/>
    <w:tmpl w:val="DA46525E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606380">
    <w:abstractNumId w:val="1"/>
  </w:num>
  <w:num w:numId="2" w16cid:durableId="905140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134"/>
    <w:rsid w:val="000F73A3"/>
    <w:rsid w:val="001101EA"/>
    <w:rsid w:val="00125497"/>
    <w:rsid w:val="00176CF5"/>
    <w:rsid w:val="00240724"/>
    <w:rsid w:val="003E25FF"/>
    <w:rsid w:val="0051704D"/>
    <w:rsid w:val="006D6337"/>
    <w:rsid w:val="00E33134"/>
    <w:rsid w:val="00E7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0542D3"/>
  <w15:docId w15:val="{F6C66586-F249-4B60-BBA5-8A6556BE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fr-FR" w:bidi="ar-SA"/>
      </w:rPr>
    </w:rPrDefault>
    <w:pPrDefault>
      <w:pPr>
        <w:tabs>
          <w:tab w:val="left" w:pos="567"/>
        </w:tabs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4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80" w:after="240"/>
      <w:ind w:left="567" w:hanging="567"/>
      <w:outlineLvl w:val="1"/>
    </w:pPr>
    <w:rPr>
      <w:b/>
      <w:smallCaps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2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tabs>
        <w:tab w:val="left" w:pos="1134"/>
      </w:tabs>
      <w:spacing w:after="240"/>
      <w:ind w:left="1134" w:hanging="567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tabs>
        <w:tab w:val="left" w:pos="1134"/>
      </w:tabs>
      <w:spacing w:after="240"/>
      <w:ind w:left="567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6D633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D6337"/>
    <w:pPr>
      <w:tabs>
        <w:tab w:val="clear" w:pos="567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337"/>
  </w:style>
  <w:style w:type="character" w:styleId="Hyperlink">
    <w:name w:val="Hyperlink"/>
    <w:basedOn w:val="DefaultParagraphFont"/>
    <w:uiPriority w:val="99"/>
    <w:unhideWhenUsed/>
    <w:rsid w:val="001254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4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549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25497"/>
    <w:pPr>
      <w:tabs>
        <w:tab w:val="clear" w:pos="567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5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esdoc.unesco.org/ark:/48223/pf0000385473.locale=en" TargetMode="External"/><Relationship Id="rId13" Type="http://schemas.openxmlformats.org/officeDocument/2006/relationships/hyperlink" Target="https://oceanexpert.org/document/28647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unesdoc.unesco.org/ark:/48223/pf0000372665.locale=en" TargetMode="External"/><Relationship Id="rId12" Type="http://schemas.openxmlformats.org/officeDocument/2006/relationships/hyperlink" Target="https://unesdoc.unesco.org/ark:/48223/pf0000385473.locale=en" TargetMode="External"/><Relationship Id="rId17" Type="http://schemas.openxmlformats.org/officeDocument/2006/relationships/hyperlink" Target="https://unesdoc.unesco.org/ark:/48223/pf0000392653.locale=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oceanexpert.org/event/4343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u/0/d/1w5TtzjKlgSCXG38WdgY0z0gsFcTpQXJ5kh8obC6ppyQ/ed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ceanexpert.org/document/34559" TargetMode="External"/><Relationship Id="rId10" Type="http://schemas.openxmlformats.org/officeDocument/2006/relationships/hyperlink" Target="https://unesdoc.unesco.org/ark:/48223/pf0000372665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oceanexpert.org/document/36272" TargetMode="External"/><Relationship Id="rId14" Type="http://schemas.openxmlformats.org/officeDocument/2006/relationships/hyperlink" Target="https://oceanexpert.org/document/32845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1336</Words>
  <Characters>7354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Boned, Patrice</dc:creator>
  <cp:lastModifiedBy>Boned, Patrice</cp:lastModifiedBy>
  <cp:revision>2</cp:revision>
  <dcterms:created xsi:type="dcterms:W3CDTF">2025-06-02T18:50:00Z</dcterms:created>
  <dcterms:modified xsi:type="dcterms:W3CDTF">2025-06-02T18:50:00Z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0x0101009354335BECF21B40B6CCFAE91E076EEB</vt:lpwstr>
  </property>
</Properties>
</file>